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D" w:rsidRDefault="00A565ED" w:rsidP="00AD1CBD">
      <w:pPr>
        <w:spacing w:after="0"/>
        <w:rPr>
          <w:lang w:val="en-US"/>
        </w:rPr>
      </w:pPr>
    </w:p>
    <w:p w:rsidR="00A565ED" w:rsidRDefault="00A565ED" w:rsidP="00AD1CBD">
      <w:pPr>
        <w:spacing w:after="0"/>
        <w:rPr>
          <w:lang w:val="en-US"/>
        </w:rPr>
      </w:pPr>
    </w:p>
    <w:p w:rsidR="00A565ED" w:rsidRPr="00AD1CBD" w:rsidRDefault="00A565ED" w:rsidP="00AD1CBD">
      <w:pPr>
        <w:spacing w:after="0"/>
        <w:rPr>
          <w:snapToGrid w:val="0"/>
          <w:lang w:val="en-US"/>
        </w:rPr>
      </w:pPr>
      <w:r>
        <w:rPr>
          <w:snapToGrid w:val="0"/>
          <w:lang w:val="en-US"/>
        </w:rPr>
        <w:t>I.</w:t>
      </w:r>
      <w:r w:rsidRPr="00AD1CBD">
        <w:rPr>
          <w:snapToGrid w:val="0"/>
          <w:lang w:val="en-US"/>
        </w:rPr>
        <w:t>A comparative balance sheet for Hartman Corporation is presented below:</w:t>
      </w:r>
    </w:p>
    <w:p w:rsidR="00A565ED" w:rsidRPr="00AD1CBD" w:rsidRDefault="00A565ED" w:rsidP="00AD1CBD">
      <w:pPr>
        <w:spacing w:before="120" w:after="0"/>
        <w:jc w:val="center"/>
        <w:rPr>
          <w:snapToGrid w:val="0"/>
          <w:lang w:val="en-US"/>
        </w:rPr>
      </w:pPr>
      <w:r w:rsidRPr="00AD1CBD">
        <w:rPr>
          <w:snapToGrid w:val="0"/>
          <w:lang w:val="en-US"/>
        </w:rPr>
        <w:t>HARTMAN CORPORATION</w:t>
      </w:r>
    </w:p>
    <w:p w:rsidR="00A565ED" w:rsidRPr="00AD1CBD" w:rsidRDefault="00A565ED" w:rsidP="00AD1CBD">
      <w:pPr>
        <w:spacing w:after="0"/>
        <w:jc w:val="center"/>
        <w:rPr>
          <w:snapToGrid w:val="0"/>
          <w:lang w:val="en-US"/>
        </w:rPr>
      </w:pPr>
      <w:r w:rsidRPr="00AD1CBD">
        <w:rPr>
          <w:snapToGrid w:val="0"/>
          <w:lang w:val="en-US"/>
        </w:rPr>
        <w:t>Comparative Balance Sheet</w:t>
      </w:r>
    </w:p>
    <w:p w:rsidR="00A565ED" w:rsidRPr="00AD1CBD" w:rsidRDefault="00A565ED" w:rsidP="00AD1CBD">
      <w:pPr>
        <w:tabs>
          <w:tab w:val="left" w:pos="6300"/>
          <w:tab w:val="left" w:pos="7290"/>
          <w:tab w:val="left" w:pos="8280"/>
          <w:tab w:val="left" w:pos="9360"/>
        </w:tabs>
        <w:spacing w:after="0"/>
        <w:rPr>
          <w:snapToGrid w:val="0"/>
          <w:u w:val="single"/>
          <w:lang w:val="en-US"/>
        </w:rPr>
      </w:pPr>
      <w:r w:rsidRPr="00AD1CBD">
        <w:rPr>
          <w:snapToGrid w:val="0"/>
          <w:lang w:val="en-US"/>
        </w:rPr>
        <w:tab/>
      </w:r>
      <w:r w:rsidRPr="00AD1CBD">
        <w:rPr>
          <w:snapToGrid w:val="0"/>
          <w:u w:val="single"/>
          <w:lang w:val="en-US"/>
        </w:rPr>
        <w:t xml:space="preserve">    2010</w:t>
      </w:r>
      <w:r w:rsidRPr="00AD1CBD">
        <w:rPr>
          <w:snapToGrid w:val="0"/>
          <w:u w:val="single"/>
          <w:lang w:val="en-US"/>
        </w:rPr>
        <w:tab/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single"/>
          <w:lang w:val="en-US"/>
        </w:rPr>
        <w:t xml:space="preserve">    2009</w:t>
      </w:r>
      <w:r w:rsidRPr="00AD1CBD">
        <w:rPr>
          <w:snapToGrid w:val="0"/>
          <w:u w:val="single"/>
          <w:lang w:val="en-US"/>
        </w:rPr>
        <w:tab/>
      </w:r>
    </w:p>
    <w:p w:rsidR="00A565ED" w:rsidRPr="00AD1CBD" w:rsidRDefault="00A565ED" w:rsidP="00AD1CBD">
      <w:pPr>
        <w:spacing w:after="0"/>
        <w:jc w:val="center"/>
        <w:rPr>
          <w:snapToGrid w:val="0"/>
          <w:lang w:val="en-US"/>
        </w:rPr>
      </w:pPr>
      <w:r w:rsidRPr="00AD1CBD">
        <w:rPr>
          <w:snapToGrid w:val="0"/>
          <w:u w:val="single"/>
          <w:lang w:val="en-US"/>
        </w:rPr>
        <w:t>Assets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20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Cash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lang w:val="en-US"/>
        </w:rPr>
        <w:tab/>
        <w:t>$  46,000</w:t>
      </w:r>
      <w:r w:rsidRPr="00AD1CBD">
        <w:rPr>
          <w:snapToGrid w:val="0"/>
          <w:lang w:val="en-US"/>
        </w:rPr>
        <w:tab/>
        <w:t>$  31,000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20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Accounts receivable (net)</w:t>
      </w:r>
      <w:r w:rsidRPr="00AD1CBD">
        <w:rPr>
          <w:snapToGrid w:val="0"/>
          <w:lang w:val="en-US"/>
        </w:rPr>
        <w:tab/>
        <w:t>70,000</w:t>
      </w:r>
      <w:r w:rsidRPr="00AD1CBD">
        <w:rPr>
          <w:snapToGrid w:val="0"/>
          <w:lang w:val="en-US"/>
        </w:rPr>
        <w:tab/>
        <w:t>60,000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20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Prepaid insurance</w:t>
      </w:r>
      <w:r w:rsidRPr="00AD1CBD">
        <w:rPr>
          <w:snapToGrid w:val="0"/>
          <w:lang w:val="en-US"/>
        </w:rPr>
        <w:tab/>
        <w:t>25,000</w:t>
      </w:r>
      <w:r w:rsidRPr="00AD1CBD">
        <w:rPr>
          <w:snapToGrid w:val="0"/>
          <w:lang w:val="en-US"/>
        </w:rPr>
        <w:tab/>
        <w:t>17,000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44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Land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lang w:val="en-US"/>
        </w:rPr>
        <w:tab/>
        <w:t>18,000</w:t>
      </w:r>
      <w:r w:rsidRPr="00AD1CBD">
        <w:rPr>
          <w:snapToGrid w:val="0"/>
          <w:lang w:val="en-US"/>
        </w:rPr>
        <w:tab/>
        <w:t>40,000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32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Equipment</w:t>
      </w:r>
      <w:r w:rsidRPr="00AD1CBD">
        <w:rPr>
          <w:snapToGrid w:val="0"/>
          <w:lang w:val="en-US"/>
        </w:rPr>
        <w:tab/>
        <w:t>70,000</w:t>
      </w:r>
      <w:r w:rsidRPr="00AD1CBD">
        <w:rPr>
          <w:snapToGrid w:val="0"/>
          <w:lang w:val="en-US"/>
        </w:rPr>
        <w:tab/>
        <w:t>60,000</w:t>
      </w:r>
    </w:p>
    <w:p w:rsidR="00A565ED" w:rsidRPr="00AD1CBD" w:rsidRDefault="00A565ED" w:rsidP="00AD1CBD">
      <w:pPr>
        <w:tabs>
          <w:tab w:val="left" w:pos="540"/>
          <w:tab w:val="right" w:pos="7290"/>
          <w:tab w:val="right" w:pos="9228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Accumulated depreciation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single"/>
          <w:lang w:val="en-US"/>
        </w:rPr>
        <w:t xml:space="preserve">   (20,000</w:t>
      </w:r>
      <w:r w:rsidRPr="00AD1CBD">
        <w:rPr>
          <w:snapToGrid w:val="0"/>
          <w:lang w:val="en-US"/>
        </w:rPr>
        <w:t>)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single"/>
          <w:lang w:val="en-US"/>
        </w:rPr>
        <w:t xml:space="preserve">   (13,000</w:t>
      </w:r>
      <w:r w:rsidRPr="00AD1CBD">
        <w:rPr>
          <w:snapToGrid w:val="0"/>
          <w:lang w:val="en-US"/>
        </w:rPr>
        <w:t>)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56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ab/>
        <w:t>Total Assets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double"/>
          <w:lang w:val="en-US"/>
        </w:rPr>
        <w:t>$209,000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double"/>
          <w:lang w:val="en-US"/>
        </w:rPr>
        <w:t>$195,000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000"/>
        </w:tabs>
        <w:spacing w:after="0"/>
        <w:rPr>
          <w:snapToGrid w:val="0"/>
          <w:lang w:val="en-US"/>
        </w:rPr>
      </w:pPr>
    </w:p>
    <w:p w:rsidR="00A565ED" w:rsidRPr="00AD1CBD" w:rsidRDefault="00A565ED" w:rsidP="00AD1CBD">
      <w:pPr>
        <w:tabs>
          <w:tab w:val="left" w:pos="540"/>
          <w:tab w:val="right" w:pos="7200"/>
          <w:tab w:val="right" w:pos="9000"/>
        </w:tabs>
        <w:spacing w:after="0"/>
        <w:jc w:val="center"/>
        <w:rPr>
          <w:snapToGrid w:val="0"/>
          <w:lang w:val="en-US"/>
        </w:rPr>
      </w:pPr>
      <w:r w:rsidRPr="00AD1CBD">
        <w:rPr>
          <w:snapToGrid w:val="0"/>
          <w:u w:val="single"/>
          <w:lang w:val="en-US"/>
        </w:rPr>
        <w:t>Liabilities and Stockholders' Equity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56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Accounts payable</w:t>
      </w:r>
      <w:r w:rsidRPr="00AD1CBD">
        <w:rPr>
          <w:snapToGrid w:val="0"/>
          <w:lang w:val="en-US"/>
        </w:rPr>
        <w:tab/>
        <w:t>$  11,000</w:t>
      </w:r>
      <w:r w:rsidRPr="00AD1CBD">
        <w:rPr>
          <w:snapToGrid w:val="0"/>
          <w:lang w:val="en-US"/>
        </w:rPr>
        <w:tab/>
        <w:t>$   6,000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44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Bonds payable</w:t>
      </w:r>
      <w:r w:rsidRPr="00AD1CBD">
        <w:rPr>
          <w:snapToGrid w:val="0"/>
          <w:lang w:val="en-US"/>
        </w:rPr>
        <w:tab/>
        <w:t>27,000</w:t>
      </w:r>
      <w:r w:rsidRPr="00AD1CBD">
        <w:rPr>
          <w:snapToGrid w:val="0"/>
          <w:lang w:val="en-US"/>
        </w:rPr>
        <w:tab/>
        <w:t>19,000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56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Common stock</w:t>
      </w:r>
      <w:r w:rsidRPr="00AD1CBD">
        <w:rPr>
          <w:snapToGrid w:val="0"/>
          <w:lang w:val="en-US"/>
        </w:rPr>
        <w:tab/>
        <w:t>140,000</w:t>
      </w:r>
      <w:r w:rsidRPr="00AD1CBD">
        <w:rPr>
          <w:snapToGrid w:val="0"/>
          <w:lang w:val="en-US"/>
        </w:rPr>
        <w:tab/>
        <w:t>115,000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44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Retained earnings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single"/>
          <w:lang w:val="en-US"/>
        </w:rPr>
        <w:t xml:space="preserve">    31,000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single"/>
          <w:lang w:val="en-US"/>
        </w:rPr>
        <w:t xml:space="preserve">    55,000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68"/>
        </w:tabs>
        <w:spacing w:after="0"/>
        <w:rPr>
          <w:snapToGrid w:val="0"/>
          <w:u w:val="double"/>
          <w:lang w:val="en-US"/>
        </w:rPr>
      </w:pPr>
      <w:r w:rsidRPr="00AD1CBD">
        <w:rPr>
          <w:snapToGrid w:val="0"/>
          <w:lang w:val="en-US"/>
        </w:rPr>
        <w:tab/>
        <w:t>Total liabilities and stockholders' equity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double"/>
          <w:lang w:val="en-US"/>
        </w:rPr>
        <w:t>$209,000</w:t>
      </w:r>
      <w:r w:rsidRPr="00AD1CBD">
        <w:rPr>
          <w:snapToGrid w:val="0"/>
          <w:lang w:val="en-US"/>
        </w:rPr>
        <w:tab/>
      </w:r>
      <w:r w:rsidRPr="00AD1CBD">
        <w:rPr>
          <w:snapToGrid w:val="0"/>
          <w:u w:val="double"/>
          <w:lang w:val="en-US"/>
        </w:rPr>
        <w:t>$195,000</w:t>
      </w:r>
    </w:p>
    <w:p w:rsidR="00A565ED" w:rsidRPr="00AD1CBD" w:rsidRDefault="00A565ED" w:rsidP="00AD1CBD">
      <w:pPr>
        <w:tabs>
          <w:tab w:val="left" w:pos="540"/>
          <w:tab w:val="right" w:pos="7200"/>
          <w:tab w:val="right" w:pos="9168"/>
        </w:tabs>
        <w:spacing w:after="0"/>
        <w:rPr>
          <w:snapToGrid w:val="0"/>
          <w:u w:val="double"/>
          <w:lang w:val="en-US"/>
        </w:rPr>
      </w:pPr>
    </w:p>
    <w:p w:rsidR="00A565ED" w:rsidRPr="00251701" w:rsidRDefault="00A565ED" w:rsidP="00AD1CBD">
      <w:pPr>
        <w:pStyle w:val="Heading5"/>
        <w:spacing w:after="0"/>
        <w:rPr>
          <w:b w:val="0"/>
        </w:rPr>
      </w:pPr>
    </w:p>
    <w:p w:rsidR="00A565ED" w:rsidRPr="00AD1CBD" w:rsidRDefault="00A565ED" w:rsidP="00AD1CBD">
      <w:pPr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Additional information:</w:t>
      </w:r>
    </w:p>
    <w:p w:rsidR="00A565ED" w:rsidRPr="00AD1CBD" w:rsidRDefault="00A565ED" w:rsidP="00AD1CBD">
      <w:pPr>
        <w:tabs>
          <w:tab w:val="left" w:pos="360"/>
        </w:tabs>
        <w:spacing w:before="100" w:after="0"/>
        <w:ind w:left="360" w:hanging="360"/>
        <w:rPr>
          <w:snapToGrid w:val="0"/>
          <w:lang w:val="en-US"/>
        </w:rPr>
      </w:pPr>
      <w:r w:rsidRPr="00AD1CBD">
        <w:rPr>
          <w:snapToGrid w:val="0"/>
          <w:lang w:val="en-US"/>
        </w:rPr>
        <w:t>1.</w:t>
      </w:r>
      <w:r w:rsidRPr="00AD1CBD">
        <w:rPr>
          <w:snapToGrid w:val="0"/>
          <w:lang w:val="en-US"/>
        </w:rPr>
        <w:tab/>
        <w:t>Net loss for 2010 is $10,000.</w:t>
      </w:r>
    </w:p>
    <w:p w:rsidR="00A565ED" w:rsidRPr="00AD1CBD" w:rsidRDefault="00A565ED" w:rsidP="00AD1CBD">
      <w:pPr>
        <w:tabs>
          <w:tab w:val="left" w:pos="360"/>
        </w:tabs>
        <w:spacing w:before="100" w:after="0"/>
        <w:ind w:left="360" w:hanging="360"/>
        <w:rPr>
          <w:snapToGrid w:val="0"/>
          <w:lang w:val="en-US"/>
        </w:rPr>
      </w:pPr>
      <w:r w:rsidRPr="00AD1CBD">
        <w:rPr>
          <w:snapToGrid w:val="0"/>
          <w:lang w:val="en-US"/>
        </w:rPr>
        <w:t>2.</w:t>
      </w:r>
      <w:r w:rsidRPr="00AD1CBD">
        <w:rPr>
          <w:snapToGrid w:val="0"/>
          <w:lang w:val="en-US"/>
        </w:rPr>
        <w:tab/>
        <w:t>Cash dividends of $14,000 were declared and paid in 2010.</w:t>
      </w:r>
    </w:p>
    <w:p w:rsidR="00A565ED" w:rsidRPr="00AD1CBD" w:rsidRDefault="00A565ED" w:rsidP="00AD1CBD">
      <w:pPr>
        <w:tabs>
          <w:tab w:val="left" w:pos="360"/>
        </w:tabs>
        <w:spacing w:before="100" w:after="0"/>
        <w:ind w:left="360" w:hanging="360"/>
        <w:jc w:val="both"/>
        <w:rPr>
          <w:snapToGrid w:val="0"/>
          <w:lang w:val="en-US"/>
        </w:rPr>
      </w:pPr>
      <w:r w:rsidRPr="00AD1CBD">
        <w:rPr>
          <w:snapToGrid w:val="0"/>
          <w:lang w:val="en-US"/>
        </w:rPr>
        <w:t>3.</w:t>
      </w:r>
      <w:r w:rsidRPr="00AD1CBD">
        <w:rPr>
          <w:snapToGrid w:val="0"/>
          <w:lang w:val="en-US"/>
        </w:rPr>
        <w:tab/>
        <w:t>Land was sold for cash at a loss of $4,000. This was the only land transaction during the year.</w:t>
      </w:r>
    </w:p>
    <w:p w:rsidR="00A565ED" w:rsidRPr="00AD1CBD" w:rsidRDefault="00A565ED" w:rsidP="00AD1CBD">
      <w:pPr>
        <w:tabs>
          <w:tab w:val="left" w:pos="360"/>
        </w:tabs>
        <w:spacing w:before="100" w:after="0"/>
        <w:ind w:left="360" w:hanging="360"/>
        <w:jc w:val="both"/>
        <w:rPr>
          <w:snapToGrid w:val="0"/>
          <w:lang w:val="en-US"/>
        </w:rPr>
      </w:pPr>
      <w:r w:rsidRPr="00AD1CBD">
        <w:rPr>
          <w:snapToGrid w:val="0"/>
          <w:lang w:val="en-US"/>
        </w:rPr>
        <w:t>4.</w:t>
      </w:r>
      <w:r w:rsidRPr="00AD1CBD">
        <w:rPr>
          <w:snapToGrid w:val="0"/>
          <w:lang w:val="en-US"/>
        </w:rPr>
        <w:tab/>
        <w:t>Equipment with a cost of $15,000 and accumulated depreciation of $10,000 was sold for $5,000 cash.</w:t>
      </w:r>
    </w:p>
    <w:p w:rsidR="00A565ED" w:rsidRPr="00AD1CBD" w:rsidRDefault="00A565ED" w:rsidP="00AD1CBD">
      <w:pPr>
        <w:tabs>
          <w:tab w:val="left" w:pos="360"/>
        </w:tabs>
        <w:spacing w:before="100" w:after="0"/>
        <w:ind w:left="360" w:hanging="360"/>
        <w:rPr>
          <w:snapToGrid w:val="0"/>
          <w:lang w:val="en-US"/>
        </w:rPr>
      </w:pPr>
      <w:r w:rsidRPr="00AD1CBD">
        <w:rPr>
          <w:snapToGrid w:val="0"/>
          <w:lang w:val="en-US"/>
        </w:rPr>
        <w:t>5.</w:t>
      </w:r>
      <w:r w:rsidRPr="00AD1CBD">
        <w:rPr>
          <w:snapToGrid w:val="0"/>
          <w:lang w:val="en-US"/>
        </w:rPr>
        <w:tab/>
        <w:t>$22,000 of bonds were retired during the year at carrying (book) value.</w:t>
      </w:r>
    </w:p>
    <w:p w:rsidR="00A565ED" w:rsidRPr="00AD1CBD" w:rsidRDefault="00A565ED" w:rsidP="00AD1CBD">
      <w:pPr>
        <w:tabs>
          <w:tab w:val="left" w:pos="360"/>
        </w:tabs>
        <w:spacing w:before="100" w:after="0"/>
        <w:ind w:left="360" w:hanging="360"/>
        <w:jc w:val="both"/>
        <w:rPr>
          <w:snapToGrid w:val="0"/>
          <w:lang w:val="en-US"/>
        </w:rPr>
      </w:pPr>
      <w:r w:rsidRPr="00AD1CBD">
        <w:rPr>
          <w:snapToGrid w:val="0"/>
          <w:lang w:val="en-US"/>
        </w:rPr>
        <w:t>6.</w:t>
      </w:r>
      <w:r w:rsidRPr="00AD1CBD">
        <w:rPr>
          <w:snapToGrid w:val="0"/>
          <w:lang w:val="en-US"/>
        </w:rPr>
        <w:tab/>
        <w:t>Equipment was acquired for common stock. The fair market value of the stock at the time of the exchange was $25,000.</w:t>
      </w:r>
    </w:p>
    <w:p w:rsidR="00A565ED" w:rsidRPr="00AD1CBD" w:rsidRDefault="00A565ED" w:rsidP="00AD1CBD">
      <w:pPr>
        <w:spacing w:after="0"/>
        <w:rPr>
          <w:snapToGrid w:val="0"/>
          <w:lang w:val="en-US"/>
        </w:rPr>
      </w:pPr>
    </w:p>
    <w:p w:rsidR="00A565ED" w:rsidRPr="00AD1CBD" w:rsidRDefault="00A565ED" w:rsidP="00AD1CBD">
      <w:pPr>
        <w:spacing w:after="0"/>
        <w:rPr>
          <w:snapToGrid w:val="0"/>
          <w:lang w:val="en-US"/>
        </w:rPr>
      </w:pPr>
      <w:r w:rsidRPr="00AD1CBD">
        <w:rPr>
          <w:b/>
          <w:snapToGrid w:val="0"/>
          <w:lang w:val="en-US"/>
        </w:rPr>
        <w:t>Instructions</w:t>
      </w:r>
    </w:p>
    <w:p w:rsidR="00A565ED" w:rsidRPr="00AD1CBD" w:rsidRDefault="00A565ED" w:rsidP="00AD1CBD">
      <w:pPr>
        <w:tabs>
          <w:tab w:val="left" w:pos="360"/>
        </w:tabs>
        <w:spacing w:after="0"/>
        <w:rPr>
          <w:snapToGrid w:val="0"/>
          <w:lang w:val="en-US"/>
        </w:rPr>
      </w:pPr>
      <w:r w:rsidRPr="00AD1CBD">
        <w:rPr>
          <w:snapToGrid w:val="0"/>
          <w:lang w:val="en-US"/>
        </w:rPr>
        <w:t>Prepare a statement of cash flows for the year ended 2010, using the indirect method</w:t>
      </w:r>
      <w:r>
        <w:rPr>
          <w:snapToGrid w:val="0"/>
          <w:lang w:val="en-US"/>
        </w:rPr>
        <w:t>.</w:t>
      </w:r>
    </w:p>
    <w:p w:rsidR="00A565ED" w:rsidRPr="00AD1CBD" w:rsidRDefault="00A565ED" w:rsidP="00AD1CBD">
      <w:pPr>
        <w:spacing w:after="0"/>
        <w:ind w:left="720" w:hanging="720"/>
        <w:jc w:val="both"/>
        <w:rPr>
          <w:snapToGrid w:val="0"/>
          <w:sz w:val="14"/>
          <w:szCs w:val="14"/>
          <w:lang w:val="en-US"/>
        </w:rPr>
      </w:pPr>
    </w:p>
    <w:p w:rsidR="00A565ED" w:rsidRPr="00AD1CBD" w:rsidRDefault="00A565ED" w:rsidP="00AD1CBD">
      <w:pPr>
        <w:spacing w:after="0"/>
        <w:rPr>
          <w:lang w:val="en-US"/>
        </w:rPr>
      </w:pPr>
    </w:p>
    <w:sectPr w:rsidR="00A565ED" w:rsidRPr="00AD1CBD" w:rsidSect="0045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BD"/>
    <w:rsid w:val="001314DF"/>
    <w:rsid w:val="00251701"/>
    <w:rsid w:val="002B3CFD"/>
    <w:rsid w:val="00451FB8"/>
    <w:rsid w:val="005C4F8D"/>
    <w:rsid w:val="009A03CD"/>
    <w:rsid w:val="00A565ED"/>
    <w:rsid w:val="00A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B8"/>
    <w:pPr>
      <w:spacing w:after="200" w:line="276" w:lineRule="auto"/>
    </w:pPr>
    <w:rPr>
      <w:lang w:val="es-P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CBD"/>
    <w:pPr>
      <w:keepNext/>
      <w:tabs>
        <w:tab w:val="left" w:pos="540"/>
        <w:tab w:val="left" w:pos="1260"/>
        <w:tab w:val="left" w:pos="1620"/>
        <w:tab w:val="left" w:pos="2520"/>
        <w:tab w:val="left" w:pos="2880"/>
        <w:tab w:val="left" w:pos="3870"/>
        <w:tab w:val="left" w:pos="4230"/>
        <w:tab w:val="left" w:pos="5130"/>
        <w:tab w:val="left" w:pos="5490"/>
        <w:tab w:val="left" w:pos="6660"/>
        <w:tab w:val="left" w:pos="7110"/>
        <w:tab w:val="left" w:pos="8100"/>
        <w:tab w:val="left" w:pos="8460"/>
        <w:tab w:val="left" w:pos="9360"/>
      </w:tabs>
      <w:spacing w:after="120" w:line="240" w:lineRule="auto"/>
      <w:outlineLvl w:val="4"/>
    </w:pPr>
    <w:rPr>
      <w:rFonts w:ascii="Arial" w:eastAsia="Times New Roman" w:hAnsi="Arial"/>
      <w:b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D1CBD"/>
    <w:rPr>
      <w:rFonts w:ascii="Arial" w:hAnsi="Arial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Nilsa Soto</dc:creator>
  <cp:keywords/>
  <dc:description/>
  <cp:lastModifiedBy>Maria A. Hernandez-Lopez</cp:lastModifiedBy>
  <cp:revision>2</cp:revision>
  <dcterms:created xsi:type="dcterms:W3CDTF">2010-11-23T00:15:00Z</dcterms:created>
  <dcterms:modified xsi:type="dcterms:W3CDTF">2010-12-03T13:12:00Z</dcterms:modified>
</cp:coreProperties>
</file>