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5" w:rsidRDefault="0018387C" w:rsidP="0018387C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Compute each of the ratios </w:t>
      </w:r>
      <w:r>
        <w:rPr>
          <w:rFonts w:ascii="Thorndale for VST" w:hAnsi="Thorndale for VST" w:cs="Thorndale for VST"/>
          <w:sz w:val="24"/>
          <w:szCs w:val="24"/>
        </w:rPr>
        <w:t xml:space="preserve">listed below </w:t>
      </w:r>
      <w:r>
        <w:rPr>
          <w:rFonts w:ascii="Thorndale for VST" w:hAnsi="Thorndale for VST" w:cs="Thorndale for VST"/>
          <w:sz w:val="24"/>
          <w:szCs w:val="24"/>
        </w:rPr>
        <w:t xml:space="preserve">for OutBack SportWear, using the information given in their balance sheet, income statement and statement of cash flow. </w:t>
      </w:r>
    </w:p>
    <w:p w:rsidR="00C36F95" w:rsidRDefault="0018387C" w:rsidP="0018387C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 Assume the common stock has a current market value of $47.25. </w:t>
      </w:r>
    </w:p>
    <w:p w:rsidR="0018387C" w:rsidRDefault="0018387C" w:rsidP="0018387C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Provide an analysis of the ratios.</w:t>
      </w:r>
    </w:p>
    <w:p w:rsidR="0018387C" w:rsidRDefault="0018387C" w:rsidP="0018387C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horndale for VST" w:hAnsi="Thorndale for VST" w:cs="Thorndale for VST"/>
          <w:sz w:val="24"/>
          <w:szCs w:val="24"/>
        </w:rPr>
      </w:pP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LIQUIDITY RATIOS</w:t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3271520" cy="1686560"/>
            <wp:effectExtent l="0" t="0" r="508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ASSET ACTIVITY RATIOS</w:t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3281680" cy="3007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LEVERAGE RATIOS</w:t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lastRenderedPageBreak/>
        <w:drawing>
          <wp:inline distT="0" distB="0" distL="0" distR="0">
            <wp:extent cx="3291840" cy="11277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COVERAGE RATIOS</w:t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3291840" cy="251968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PROFITABILITY RATIOS</w:t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3291840" cy="22453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b/>
          <w:bCs/>
          <w:sz w:val="24"/>
          <w:szCs w:val="24"/>
        </w:rPr>
        <w:t>MARKET VALUE RATIOS</w:t>
      </w:r>
    </w:p>
    <w:p w:rsidR="00C5484F" w:rsidRDefault="00C5484F" w:rsidP="00C5484F">
      <w:pPr>
        <w:autoSpaceDE w:val="0"/>
        <w:autoSpaceDN w:val="0"/>
        <w:adjustRightInd w:val="0"/>
        <w:spacing w:before="240" w:after="0" w:line="240" w:lineRule="auto"/>
        <w:ind w:left="1260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noProof/>
          <w:sz w:val="24"/>
          <w:szCs w:val="24"/>
        </w:rPr>
        <w:drawing>
          <wp:inline distT="0" distB="0" distL="0" distR="0">
            <wp:extent cx="326136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4F"/>
    <w:rsid w:val="0018387C"/>
    <w:rsid w:val="00840BF8"/>
    <w:rsid w:val="00C36F95"/>
    <w:rsid w:val="00C5484F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3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2010-11-27T15:05:00Z</dcterms:created>
  <dcterms:modified xsi:type="dcterms:W3CDTF">2010-11-29T01:34:00Z</dcterms:modified>
</cp:coreProperties>
</file>