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3" w:rsidRPr="008254BF" w:rsidRDefault="000B29A9">
      <w:pPr>
        <w:rPr>
          <w:rFonts w:ascii="Arial" w:hAnsi="Arial" w:cs="Arial"/>
        </w:rPr>
      </w:pPr>
      <w:r w:rsidRPr="008254BF">
        <w:rPr>
          <w:rFonts w:ascii="Arial" w:hAnsi="Arial" w:cs="Arial"/>
        </w:rPr>
        <w:t>57. Ben Fun, Inc., manufactures video games. Market saturation and technological innovations have caused pricing pressures, which have resulted in declining profits. To stem the slide in profits until new products can be introduced, top management has turned its attention to both manufacturing economies and increased production. To realize these objectives, an incentive program has been developed to reward production manager who contribute to an increase in the number of units produced and effect cost reductions.</w:t>
      </w:r>
    </w:p>
    <w:p w:rsidR="000B29A9" w:rsidRPr="008254BF" w:rsidRDefault="000B29A9" w:rsidP="00D21044">
      <w:pPr>
        <w:jc w:val="both"/>
        <w:rPr>
          <w:rFonts w:ascii="Arial" w:hAnsi="Arial" w:cs="Arial"/>
        </w:rPr>
      </w:pPr>
      <w:r w:rsidRPr="008254BF">
        <w:rPr>
          <w:rFonts w:ascii="Arial" w:hAnsi="Arial" w:cs="Arial"/>
        </w:rPr>
        <w:t xml:space="preserve">The production managers have responded to the pressure of improving manufacturing </w:t>
      </w:r>
      <w:r w:rsidR="00D21044" w:rsidRPr="008254BF">
        <w:rPr>
          <w:rFonts w:ascii="Arial" w:hAnsi="Arial" w:cs="Arial"/>
        </w:rPr>
        <w:t>in several ways that have results increased completed units over normal production levels. The video game machines are put together by the programming group (PG) and the group (GG). To attain increased production levels, PG and GG groups commenced rejecting games that previously would have been tested and modified to meet manufacturing standards. Preventive maintenance on machines used in the production of these games has been postponed, with only emergency repair work being performed to keep production lines moving. This decision has been disconcerting to maintenance personnel, who are concerned that this could result in serious breakdowns and unsafe operating conditions.</w:t>
      </w:r>
    </w:p>
    <w:p w:rsidR="00D21044" w:rsidRPr="008254BF" w:rsidRDefault="00D21044" w:rsidP="00D21044">
      <w:pPr>
        <w:jc w:val="both"/>
        <w:rPr>
          <w:rFonts w:ascii="Arial" w:hAnsi="Arial" w:cs="Arial"/>
        </w:rPr>
      </w:pPr>
      <w:r w:rsidRPr="008254BF">
        <w:rPr>
          <w:rFonts w:ascii="Arial" w:hAnsi="Arial" w:cs="Arial"/>
        </w:rPr>
        <w:t>The more aggressive assembly group production supervisors have pressured maintenance personnel to attend to their machines at the expense of other groups. This has resulted in machine downtime in the PG and GG groups, which, when coupled with demands for accel</w:t>
      </w:r>
      <w:r w:rsidR="00FF00C2" w:rsidRPr="008254BF">
        <w:rPr>
          <w:rFonts w:ascii="Arial" w:hAnsi="Arial" w:cs="Arial"/>
        </w:rPr>
        <w:t>erated delivery by the assembly group, has led to more frequent rejections and increased friction among departments.</w:t>
      </w:r>
    </w:p>
    <w:p w:rsidR="00FF00C2" w:rsidRPr="008254BF" w:rsidRDefault="00FF00C2" w:rsidP="00D21044">
      <w:pPr>
        <w:jc w:val="both"/>
        <w:rPr>
          <w:rFonts w:ascii="Arial" w:hAnsi="Arial" w:cs="Arial"/>
        </w:rPr>
      </w:pPr>
      <w:r w:rsidRPr="008254BF">
        <w:rPr>
          <w:rFonts w:ascii="Arial" w:hAnsi="Arial" w:cs="Arial"/>
        </w:rPr>
        <w:t xml:space="preserve">Ben Fun operates under a </w:t>
      </w:r>
      <w:r w:rsidR="00AC0002" w:rsidRPr="008254BF">
        <w:rPr>
          <w:rFonts w:ascii="Arial" w:hAnsi="Arial" w:cs="Arial"/>
        </w:rPr>
        <w:t>standard cost</w:t>
      </w:r>
      <w:r w:rsidRPr="008254BF">
        <w:rPr>
          <w:rFonts w:ascii="Arial" w:hAnsi="Arial" w:cs="Arial"/>
        </w:rPr>
        <w:t xml:space="preserve"> system. The standard costs for video games are as follows:</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8"/>
        <w:gridCol w:w="1080"/>
        <w:gridCol w:w="864"/>
        <w:gridCol w:w="1774"/>
      </w:tblGrid>
      <w:tr w:rsidR="00FF00C2" w:rsidRPr="008254BF" w:rsidTr="00AC543C">
        <w:tblPrEx>
          <w:tblCellMar>
            <w:top w:w="0" w:type="dxa"/>
            <w:bottom w:w="0" w:type="dxa"/>
          </w:tblCellMar>
        </w:tblPrEx>
        <w:trPr>
          <w:trHeight w:val="391"/>
        </w:trPr>
        <w:tc>
          <w:tcPr>
            <w:tcW w:w="2848" w:type="dxa"/>
          </w:tcPr>
          <w:p w:rsidR="00FF00C2" w:rsidRPr="008254BF" w:rsidRDefault="00FF00C2" w:rsidP="00D21044">
            <w:pPr>
              <w:jc w:val="both"/>
              <w:rPr>
                <w:rFonts w:ascii="Arial" w:hAnsi="Arial" w:cs="Arial"/>
                <w:i/>
              </w:rPr>
            </w:pPr>
            <w:r w:rsidRPr="008254BF">
              <w:rPr>
                <w:rFonts w:ascii="Arial" w:hAnsi="Arial" w:cs="Arial"/>
              </w:rPr>
              <w:t>Cost Item</w:t>
            </w:r>
          </w:p>
        </w:tc>
        <w:tc>
          <w:tcPr>
            <w:tcW w:w="1080" w:type="dxa"/>
          </w:tcPr>
          <w:p w:rsidR="00FF00C2" w:rsidRPr="008254BF" w:rsidRDefault="00FF00C2" w:rsidP="00D21044">
            <w:pPr>
              <w:jc w:val="both"/>
              <w:rPr>
                <w:rFonts w:ascii="Arial" w:hAnsi="Arial" w:cs="Arial"/>
              </w:rPr>
            </w:pPr>
            <w:r w:rsidRPr="008254BF">
              <w:rPr>
                <w:rFonts w:ascii="Arial" w:hAnsi="Arial" w:cs="Arial"/>
              </w:rPr>
              <w:t>Quantity</w:t>
            </w:r>
          </w:p>
        </w:tc>
        <w:tc>
          <w:tcPr>
            <w:tcW w:w="864" w:type="dxa"/>
          </w:tcPr>
          <w:p w:rsidR="00FF00C2" w:rsidRPr="008254BF" w:rsidRDefault="00FF00C2" w:rsidP="00D21044">
            <w:pPr>
              <w:jc w:val="both"/>
              <w:rPr>
                <w:rFonts w:ascii="Arial" w:hAnsi="Arial" w:cs="Arial"/>
              </w:rPr>
            </w:pPr>
            <w:r w:rsidRPr="008254BF">
              <w:rPr>
                <w:rFonts w:ascii="Arial" w:hAnsi="Arial" w:cs="Arial"/>
              </w:rPr>
              <w:t>Cost</w:t>
            </w:r>
          </w:p>
        </w:tc>
        <w:tc>
          <w:tcPr>
            <w:tcW w:w="1774" w:type="dxa"/>
          </w:tcPr>
          <w:p w:rsidR="00FF00C2" w:rsidRPr="008254BF" w:rsidRDefault="00FF00C2" w:rsidP="00D21044">
            <w:pPr>
              <w:jc w:val="both"/>
              <w:rPr>
                <w:rFonts w:ascii="Arial" w:hAnsi="Arial" w:cs="Arial"/>
              </w:rPr>
            </w:pPr>
            <w:r w:rsidRPr="008254BF">
              <w:rPr>
                <w:rFonts w:ascii="Arial" w:hAnsi="Arial" w:cs="Arial"/>
              </w:rPr>
              <w:t>Total</w:t>
            </w:r>
          </w:p>
        </w:tc>
      </w:tr>
      <w:tr w:rsidR="00FF00C2" w:rsidRPr="008254BF" w:rsidTr="00AC543C">
        <w:tblPrEx>
          <w:tblCellMar>
            <w:top w:w="0" w:type="dxa"/>
            <w:bottom w:w="0" w:type="dxa"/>
          </w:tblCellMar>
        </w:tblPrEx>
        <w:trPr>
          <w:trHeight w:val="380"/>
        </w:trPr>
        <w:tc>
          <w:tcPr>
            <w:tcW w:w="2848" w:type="dxa"/>
          </w:tcPr>
          <w:p w:rsidR="00FF00C2" w:rsidRPr="008254BF" w:rsidRDefault="00FF00C2" w:rsidP="00D21044">
            <w:pPr>
              <w:jc w:val="both"/>
              <w:rPr>
                <w:rFonts w:ascii="Arial" w:hAnsi="Arial" w:cs="Arial"/>
                <w:b/>
              </w:rPr>
            </w:pPr>
            <w:r w:rsidRPr="008254BF">
              <w:rPr>
                <w:rFonts w:ascii="Arial" w:hAnsi="Arial" w:cs="Arial"/>
                <w:b/>
              </w:rPr>
              <w:t>Direct Materials</w:t>
            </w:r>
          </w:p>
        </w:tc>
        <w:tc>
          <w:tcPr>
            <w:tcW w:w="1080" w:type="dxa"/>
          </w:tcPr>
          <w:p w:rsidR="00FF00C2" w:rsidRPr="008254BF" w:rsidRDefault="00FF00C2" w:rsidP="00D21044">
            <w:pPr>
              <w:jc w:val="both"/>
              <w:rPr>
                <w:rFonts w:ascii="Arial" w:hAnsi="Arial" w:cs="Arial"/>
              </w:rPr>
            </w:pPr>
          </w:p>
        </w:tc>
        <w:tc>
          <w:tcPr>
            <w:tcW w:w="864" w:type="dxa"/>
          </w:tcPr>
          <w:p w:rsidR="00FF00C2" w:rsidRPr="008254BF" w:rsidRDefault="00FF00C2" w:rsidP="00D21044">
            <w:pPr>
              <w:jc w:val="both"/>
              <w:rPr>
                <w:rFonts w:ascii="Arial" w:hAnsi="Arial" w:cs="Arial"/>
              </w:rPr>
            </w:pPr>
          </w:p>
        </w:tc>
        <w:tc>
          <w:tcPr>
            <w:tcW w:w="1774" w:type="dxa"/>
          </w:tcPr>
          <w:p w:rsidR="00FF00C2" w:rsidRPr="008254BF" w:rsidRDefault="00FF00C2" w:rsidP="00D21044">
            <w:pPr>
              <w:jc w:val="both"/>
              <w:rPr>
                <w:rFonts w:ascii="Arial" w:hAnsi="Arial" w:cs="Arial"/>
              </w:rPr>
            </w:pPr>
          </w:p>
        </w:tc>
      </w:tr>
      <w:tr w:rsidR="00FF00C2" w:rsidRPr="008254BF" w:rsidTr="00AC543C">
        <w:tblPrEx>
          <w:tblCellMar>
            <w:top w:w="0" w:type="dxa"/>
            <w:bottom w:w="0" w:type="dxa"/>
          </w:tblCellMar>
        </w:tblPrEx>
        <w:trPr>
          <w:trHeight w:val="345"/>
        </w:trPr>
        <w:tc>
          <w:tcPr>
            <w:tcW w:w="2848" w:type="dxa"/>
          </w:tcPr>
          <w:p w:rsidR="00FF00C2" w:rsidRPr="008254BF" w:rsidRDefault="00FF00C2" w:rsidP="00D21044">
            <w:pPr>
              <w:jc w:val="both"/>
              <w:rPr>
                <w:rFonts w:ascii="Arial" w:hAnsi="Arial" w:cs="Arial"/>
              </w:rPr>
            </w:pPr>
            <w:r w:rsidRPr="008254BF">
              <w:rPr>
                <w:rFonts w:ascii="Arial" w:hAnsi="Arial" w:cs="Arial"/>
              </w:rPr>
              <w:t>CD</w:t>
            </w:r>
          </w:p>
        </w:tc>
        <w:tc>
          <w:tcPr>
            <w:tcW w:w="1080" w:type="dxa"/>
          </w:tcPr>
          <w:p w:rsidR="00FF00C2" w:rsidRPr="008254BF" w:rsidRDefault="00FF00C2" w:rsidP="00D21044">
            <w:pPr>
              <w:jc w:val="both"/>
              <w:rPr>
                <w:rFonts w:ascii="Arial" w:hAnsi="Arial" w:cs="Arial"/>
              </w:rPr>
            </w:pPr>
            <w:r w:rsidRPr="008254BF">
              <w:rPr>
                <w:rFonts w:ascii="Arial" w:hAnsi="Arial" w:cs="Arial"/>
              </w:rPr>
              <w:t>1</w:t>
            </w:r>
          </w:p>
        </w:tc>
        <w:tc>
          <w:tcPr>
            <w:tcW w:w="864" w:type="dxa"/>
          </w:tcPr>
          <w:p w:rsidR="00FF00C2" w:rsidRPr="008254BF" w:rsidRDefault="00FF00C2" w:rsidP="00D21044">
            <w:pPr>
              <w:jc w:val="both"/>
              <w:rPr>
                <w:rFonts w:ascii="Arial" w:hAnsi="Arial" w:cs="Arial"/>
              </w:rPr>
            </w:pPr>
            <w:r w:rsidRPr="008254BF">
              <w:rPr>
                <w:rFonts w:ascii="Arial" w:hAnsi="Arial" w:cs="Arial"/>
              </w:rPr>
              <w:t>$20.00</w:t>
            </w:r>
          </w:p>
        </w:tc>
        <w:tc>
          <w:tcPr>
            <w:tcW w:w="1774" w:type="dxa"/>
          </w:tcPr>
          <w:p w:rsidR="00FF00C2" w:rsidRPr="008254BF" w:rsidRDefault="00FF00C2" w:rsidP="00D21044">
            <w:pPr>
              <w:jc w:val="both"/>
              <w:rPr>
                <w:rFonts w:ascii="Arial" w:hAnsi="Arial" w:cs="Arial"/>
              </w:rPr>
            </w:pPr>
            <w:r w:rsidRPr="008254BF">
              <w:rPr>
                <w:rFonts w:ascii="Arial" w:hAnsi="Arial" w:cs="Arial"/>
              </w:rPr>
              <w:t>$20.00</w:t>
            </w:r>
          </w:p>
        </w:tc>
      </w:tr>
      <w:tr w:rsidR="00FF00C2" w:rsidRPr="008254BF" w:rsidTr="00AC543C">
        <w:tblPrEx>
          <w:tblCellMar>
            <w:top w:w="0" w:type="dxa"/>
            <w:bottom w:w="0" w:type="dxa"/>
          </w:tblCellMar>
        </w:tblPrEx>
        <w:trPr>
          <w:trHeight w:val="322"/>
        </w:trPr>
        <w:tc>
          <w:tcPr>
            <w:tcW w:w="2848" w:type="dxa"/>
          </w:tcPr>
          <w:p w:rsidR="00FF00C2" w:rsidRPr="008254BF" w:rsidRDefault="00FF00C2" w:rsidP="00D21044">
            <w:pPr>
              <w:jc w:val="both"/>
              <w:rPr>
                <w:rFonts w:ascii="Arial" w:hAnsi="Arial" w:cs="Arial"/>
              </w:rPr>
            </w:pPr>
            <w:r w:rsidRPr="008254BF">
              <w:rPr>
                <w:rFonts w:ascii="Arial" w:hAnsi="Arial" w:cs="Arial"/>
              </w:rPr>
              <w:t>Package</w:t>
            </w:r>
          </w:p>
        </w:tc>
        <w:tc>
          <w:tcPr>
            <w:tcW w:w="1080" w:type="dxa"/>
          </w:tcPr>
          <w:p w:rsidR="00FF00C2" w:rsidRPr="008254BF" w:rsidRDefault="00FF00C2" w:rsidP="00D21044">
            <w:pPr>
              <w:jc w:val="both"/>
              <w:rPr>
                <w:rFonts w:ascii="Arial" w:hAnsi="Arial" w:cs="Arial"/>
              </w:rPr>
            </w:pPr>
            <w:r w:rsidRPr="008254BF">
              <w:rPr>
                <w:rFonts w:ascii="Arial" w:hAnsi="Arial" w:cs="Arial"/>
              </w:rPr>
              <w:t>1</w:t>
            </w:r>
          </w:p>
        </w:tc>
        <w:tc>
          <w:tcPr>
            <w:tcW w:w="864" w:type="dxa"/>
          </w:tcPr>
          <w:p w:rsidR="00FF00C2" w:rsidRPr="008254BF" w:rsidRDefault="00FF00C2" w:rsidP="00D21044">
            <w:pPr>
              <w:jc w:val="both"/>
              <w:rPr>
                <w:rFonts w:ascii="Arial" w:hAnsi="Arial" w:cs="Arial"/>
              </w:rPr>
            </w:pPr>
            <w:r w:rsidRPr="008254BF">
              <w:rPr>
                <w:rFonts w:ascii="Arial" w:hAnsi="Arial" w:cs="Arial"/>
              </w:rPr>
              <w:t>15.00</w:t>
            </w:r>
          </w:p>
        </w:tc>
        <w:tc>
          <w:tcPr>
            <w:tcW w:w="1774" w:type="dxa"/>
          </w:tcPr>
          <w:p w:rsidR="00FF00C2" w:rsidRPr="008254BF" w:rsidRDefault="00FF00C2" w:rsidP="00D21044">
            <w:pPr>
              <w:jc w:val="both"/>
              <w:rPr>
                <w:rFonts w:ascii="Arial" w:hAnsi="Arial" w:cs="Arial"/>
              </w:rPr>
            </w:pPr>
            <w:r w:rsidRPr="008254BF">
              <w:rPr>
                <w:rFonts w:ascii="Arial" w:hAnsi="Arial" w:cs="Arial"/>
              </w:rPr>
              <w:t>15.00</w:t>
            </w:r>
          </w:p>
        </w:tc>
      </w:tr>
      <w:tr w:rsidR="00FF00C2" w:rsidRPr="008254BF" w:rsidTr="00AC543C">
        <w:tblPrEx>
          <w:tblCellMar>
            <w:top w:w="0" w:type="dxa"/>
            <w:bottom w:w="0" w:type="dxa"/>
          </w:tblCellMar>
        </w:tblPrEx>
        <w:trPr>
          <w:trHeight w:val="288"/>
        </w:trPr>
        <w:tc>
          <w:tcPr>
            <w:tcW w:w="2848" w:type="dxa"/>
          </w:tcPr>
          <w:p w:rsidR="00FF00C2" w:rsidRPr="008254BF" w:rsidRDefault="00FF00C2" w:rsidP="00D21044">
            <w:pPr>
              <w:jc w:val="both"/>
              <w:rPr>
                <w:rFonts w:ascii="Arial" w:hAnsi="Arial" w:cs="Arial"/>
              </w:rPr>
            </w:pPr>
            <w:r w:rsidRPr="008254BF">
              <w:rPr>
                <w:rFonts w:ascii="Arial" w:hAnsi="Arial" w:cs="Arial"/>
              </w:rPr>
              <w:t>Labels</w:t>
            </w:r>
          </w:p>
        </w:tc>
        <w:tc>
          <w:tcPr>
            <w:tcW w:w="1080" w:type="dxa"/>
          </w:tcPr>
          <w:p w:rsidR="00FF00C2" w:rsidRPr="008254BF" w:rsidRDefault="00FF00C2" w:rsidP="00D21044">
            <w:pPr>
              <w:jc w:val="both"/>
              <w:rPr>
                <w:rFonts w:ascii="Arial" w:hAnsi="Arial" w:cs="Arial"/>
              </w:rPr>
            </w:pPr>
            <w:r w:rsidRPr="008254BF">
              <w:rPr>
                <w:rFonts w:ascii="Arial" w:hAnsi="Arial" w:cs="Arial"/>
              </w:rPr>
              <w:t>2</w:t>
            </w:r>
          </w:p>
        </w:tc>
        <w:tc>
          <w:tcPr>
            <w:tcW w:w="864" w:type="dxa"/>
          </w:tcPr>
          <w:p w:rsidR="00FF00C2" w:rsidRPr="008254BF" w:rsidRDefault="00FF00C2" w:rsidP="00D21044">
            <w:pPr>
              <w:jc w:val="both"/>
              <w:rPr>
                <w:rFonts w:ascii="Arial" w:hAnsi="Arial" w:cs="Arial"/>
              </w:rPr>
            </w:pPr>
            <w:r w:rsidRPr="008254BF">
              <w:rPr>
                <w:rFonts w:ascii="Arial" w:hAnsi="Arial" w:cs="Arial"/>
              </w:rPr>
              <w:t>1.00</w:t>
            </w:r>
          </w:p>
        </w:tc>
        <w:tc>
          <w:tcPr>
            <w:tcW w:w="1774" w:type="dxa"/>
          </w:tcPr>
          <w:p w:rsidR="00FF00C2" w:rsidRPr="008254BF" w:rsidRDefault="00FF00C2" w:rsidP="00D21044">
            <w:pPr>
              <w:jc w:val="both"/>
              <w:rPr>
                <w:rFonts w:ascii="Arial" w:hAnsi="Arial" w:cs="Arial"/>
              </w:rPr>
            </w:pPr>
            <w:r w:rsidRPr="008254BF">
              <w:rPr>
                <w:rFonts w:ascii="Arial" w:hAnsi="Arial" w:cs="Arial"/>
              </w:rPr>
              <w:t>2.00</w:t>
            </w:r>
          </w:p>
        </w:tc>
      </w:tr>
      <w:tr w:rsidR="00FF00C2" w:rsidRPr="008254BF" w:rsidTr="00AC543C">
        <w:tblPrEx>
          <w:tblCellMar>
            <w:top w:w="0" w:type="dxa"/>
            <w:bottom w:w="0" w:type="dxa"/>
          </w:tblCellMar>
        </w:tblPrEx>
        <w:trPr>
          <w:trHeight w:val="472"/>
        </w:trPr>
        <w:tc>
          <w:tcPr>
            <w:tcW w:w="2848" w:type="dxa"/>
          </w:tcPr>
          <w:p w:rsidR="00FF00C2" w:rsidRPr="008254BF" w:rsidRDefault="00FF00C2" w:rsidP="00D21044">
            <w:pPr>
              <w:jc w:val="both"/>
              <w:rPr>
                <w:rFonts w:ascii="Arial" w:hAnsi="Arial" w:cs="Arial"/>
                <w:b/>
              </w:rPr>
            </w:pPr>
            <w:r w:rsidRPr="008254BF">
              <w:rPr>
                <w:rFonts w:ascii="Arial" w:hAnsi="Arial" w:cs="Arial"/>
                <w:b/>
              </w:rPr>
              <w:t>Direct Labor</w:t>
            </w:r>
          </w:p>
        </w:tc>
        <w:tc>
          <w:tcPr>
            <w:tcW w:w="1080" w:type="dxa"/>
          </w:tcPr>
          <w:p w:rsidR="00FF00C2" w:rsidRPr="008254BF" w:rsidRDefault="00FF00C2" w:rsidP="00D21044">
            <w:pPr>
              <w:jc w:val="both"/>
              <w:rPr>
                <w:rFonts w:ascii="Arial" w:hAnsi="Arial" w:cs="Arial"/>
              </w:rPr>
            </w:pPr>
          </w:p>
        </w:tc>
        <w:tc>
          <w:tcPr>
            <w:tcW w:w="864" w:type="dxa"/>
          </w:tcPr>
          <w:p w:rsidR="00FF00C2" w:rsidRPr="008254BF" w:rsidRDefault="00FF00C2" w:rsidP="00D21044">
            <w:pPr>
              <w:jc w:val="both"/>
              <w:rPr>
                <w:rFonts w:ascii="Arial" w:hAnsi="Arial" w:cs="Arial"/>
              </w:rPr>
            </w:pPr>
          </w:p>
        </w:tc>
        <w:tc>
          <w:tcPr>
            <w:tcW w:w="1774" w:type="dxa"/>
          </w:tcPr>
          <w:p w:rsidR="00FF00C2" w:rsidRPr="008254BF" w:rsidRDefault="00FF00C2" w:rsidP="00D21044">
            <w:pPr>
              <w:jc w:val="both"/>
              <w:rPr>
                <w:rFonts w:ascii="Arial" w:hAnsi="Arial" w:cs="Arial"/>
              </w:rPr>
            </w:pPr>
          </w:p>
        </w:tc>
      </w:tr>
      <w:tr w:rsidR="00FF00C2" w:rsidRPr="008254BF" w:rsidTr="00AC543C">
        <w:tblPrEx>
          <w:tblCellMar>
            <w:top w:w="0" w:type="dxa"/>
            <w:bottom w:w="0" w:type="dxa"/>
          </w:tblCellMar>
        </w:tblPrEx>
        <w:trPr>
          <w:trHeight w:val="449"/>
        </w:trPr>
        <w:tc>
          <w:tcPr>
            <w:tcW w:w="2848" w:type="dxa"/>
          </w:tcPr>
          <w:p w:rsidR="00FF00C2" w:rsidRPr="008254BF" w:rsidRDefault="00FF00C2" w:rsidP="00D21044">
            <w:pPr>
              <w:jc w:val="both"/>
              <w:rPr>
                <w:rFonts w:ascii="Arial" w:hAnsi="Arial" w:cs="Arial"/>
              </w:rPr>
            </w:pPr>
            <w:r w:rsidRPr="008254BF">
              <w:rPr>
                <w:rFonts w:ascii="Arial" w:hAnsi="Arial" w:cs="Arial"/>
              </w:rPr>
              <w:t>Assembly</w:t>
            </w:r>
          </w:p>
        </w:tc>
        <w:tc>
          <w:tcPr>
            <w:tcW w:w="1080" w:type="dxa"/>
          </w:tcPr>
          <w:p w:rsidR="00FF00C2" w:rsidRPr="008254BF" w:rsidRDefault="00FF00C2" w:rsidP="00D21044">
            <w:pPr>
              <w:jc w:val="both"/>
              <w:rPr>
                <w:rFonts w:ascii="Arial" w:hAnsi="Arial" w:cs="Arial"/>
              </w:rPr>
            </w:pPr>
            <w:r w:rsidRPr="008254BF">
              <w:rPr>
                <w:rFonts w:ascii="Arial" w:hAnsi="Arial" w:cs="Arial"/>
              </w:rPr>
              <w:t>2 hours</w:t>
            </w:r>
          </w:p>
        </w:tc>
        <w:tc>
          <w:tcPr>
            <w:tcW w:w="864" w:type="dxa"/>
          </w:tcPr>
          <w:p w:rsidR="00FF00C2" w:rsidRPr="008254BF" w:rsidRDefault="00FF00C2" w:rsidP="00D21044">
            <w:pPr>
              <w:jc w:val="both"/>
              <w:rPr>
                <w:rFonts w:ascii="Arial" w:hAnsi="Arial" w:cs="Arial"/>
              </w:rPr>
            </w:pPr>
            <w:r w:rsidRPr="008254BF">
              <w:rPr>
                <w:rFonts w:ascii="Arial" w:hAnsi="Arial" w:cs="Arial"/>
              </w:rPr>
              <w:t>8.00</w:t>
            </w:r>
          </w:p>
        </w:tc>
        <w:tc>
          <w:tcPr>
            <w:tcW w:w="1774" w:type="dxa"/>
          </w:tcPr>
          <w:p w:rsidR="00FF00C2" w:rsidRPr="008254BF" w:rsidRDefault="00FF00C2" w:rsidP="00D21044">
            <w:pPr>
              <w:jc w:val="both"/>
              <w:rPr>
                <w:rFonts w:ascii="Arial" w:hAnsi="Arial" w:cs="Arial"/>
              </w:rPr>
            </w:pPr>
            <w:r w:rsidRPr="008254BF">
              <w:rPr>
                <w:rFonts w:ascii="Arial" w:hAnsi="Arial" w:cs="Arial"/>
              </w:rPr>
              <w:t>16.00</w:t>
            </w:r>
          </w:p>
        </w:tc>
      </w:tr>
      <w:tr w:rsidR="00FF00C2" w:rsidRPr="008254BF" w:rsidTr="00AC543C">
        <w:tblPrEx>
          <w:tblCellMar>
            <w:top w:w="0" w:type="dxa"/>
            <w:bottom w:w="0" w:type="dxa"/>
          </w:tblCellMar>
        </w:tblPrEx>
        <w:trPr>
          <w:trHeight w:val="288"/>
        </w:trPr>
        <w:tc>
          <w:tcPr>
            <w:tcW w:w="2848" w:type="dxa"/>
          </w:tcPr>
          <w:p w:rsidR="00FF00C2" w:rsidRPr="008254BF" w:rsidRDefault="00FF00C2" w:rsidP="00D21044">
            <w:pPr>
              <w:jc w:val="both"/>
              <w:rPr>
                <w:rFonts w:ascii="Arial" w:hAnsi="Arial" w:cs="Arial"/>
              </w:rPr>
            </w:pPr>
            <w:r w:rsidRPr="008254BF">
              <w:rPr>
                <w:rFonts w:ascii="Arial" w:hAnsi="Arial" w:cs="Arial"/>
              </w:rPr>
              <w:t>PG group</w:t>
            </w:r>
          </w:p>
        </w:tc>
        <w:tc>
          <w:tcPr>
            <w:tcW w:w="1080" w:type="dxa"/>
          </w:tcPr>
          <w:p w:rsidR="00FF00C2" w:rsidRPr="008254BF" w:rsidRDefault="00FF00C2" w:rsidP="00D21044">
            <w:pPr>
              <w:jc w:val="both"/>
              <w:rPr>
                <w:rFonts w:ascii="Arial" w:hAnsi="Arial" w:cs="Arial"/>
              </w:rPr>
            </w:pPr>
            <w:r w:rsidRPr="008254BF">
              <w:rPr>
                <w:rFonts w:ascii="Arial" w:hAnsi="Arial" w:cs="Arial"/>
              </w:rPr>
              <w:t>1 hour</w:t>
            </w:r>
          </w:p>
        </w:tc>
        <w:tc>
          <w:tcPr>
            <w:tcW w:w="864" w:type="dxa"/>
          </w:tcPr>
          <w:p w:rsidR="00FF00C2" w:rsidRPr="008254BF" w:rsidRDefault="00FF00C2" w:rsidP="00D21044">
            <w:pPr>
              <w:jc w:val="both"/>
              <w:rPr>
                <w:rFonts w:ascii="Arial" w:hAnsi="Arial" w:cs="Arial"/>
              </w:rPr>
            </w:pPr>
            <w:r w:rsidRPr="008254BF">
              <w:rPr>
                <w:rFonts w:ascii="Arial" w:hAnsi="Arial" w:cs="Arial"/>
              </w:rPr>
              <w:t>9.00</w:t>
            </w:r>
          </w:p>
        </w:tc>
        <w:tc>
          <w:tcPr>
            <w:tcW w:w="1774" w:type="dxa"/>
          </w:tcPr>
          <w:p w:rsidR="00FF00C2" w:rsidRPr="008254BF" w:rsidRDefault="00FF00C2" w:rsidP="00D21044">
            <w:pPr>
              <w:jc w:val="both"/>
              <w:rPr>
                <w:rFonts w:ascii="Arial" w:hAnsi="Arial" w:cs="Arial"/>
              </w:rPr>
            </w:pPr>
            <w:r w:rsidRPr="008254BF">
              <w:rPr>
                <w:rFonts w:ascii="Arial" w:hAnsi="Arial" w:cs="Arial"/>
              </w:rPr>
              <w:t>9.00</w:t>
            </w:r>
          </w:p>
        </w:tc>
      </w:tr>
      <w:tr w:rsidR="00FF00C2" w:rsidRPr="008254BF" w:rsidTr="00AC543C">
        <w:tblPrEx>
          <w:tblCellMar>
            <w:top w:w="0" w:type="dxa"/>
            <w:bottom w:w="0" w:type="dxa"/>
          </w:tblCellMar>
        </w:tblPrEx>
        <w:trPr>
          <w:trHeight w:val="322"/>
        </w:trPr>
        <w:tc>
          <w:tcPr>
            <w:tcW w:w="2848" w:type="dxa"/>
          </w:tcPr>
          <w:p w:rsidR="00FF00C2" w:rsidRPr="008254BF" w:rsidRDefault="00FF00C2" w:rsidP="00D21044">
            <w:pPr>
              <w:jc w:val="both"/>
              <w:rPr>
                <w:rFonts w:ascii="Arial" w:hAnsi="Arial" w:cs="Arial"/>
              </w:rPr>
            </w:pPr>
            <w:r w:rsidRPr="008254BF">
              <w:rPr>
                <w:rFonts w:ascii="Arial" w:hAnsi="Arial" w:cs="Arial"/>
              </w:rPr>
              <w:t>GG group</w:t>
            </w:r>
          </w:p>
        </w:tc>
        <w:tc>
          <w:tcPr>
            <w:tcW w:w="1080" w:type="dxa"/>
          </w:tcPr>
          <w:p w:rsidR="00FF00C2" w:rsidRPr="008254BF" w:rsidRDefault="00FF00C2" w:rsidP="00D21044">
            <w:pPr>
              <w:jc w:val="both"/>
              <w:rPr>
                <w:rFonts w:ascii="Arial" w:hAnsi="Arial" w:cs="Arial"/>
              </w:rPr>
            </w:pPr>
            <w:r w:rsidRPr="008254BF">
              <w:rPr>
                <w:rFonts w:ascii="Arial" w:hAnsi="Arial" w:cs="Arial"/>
              </w:rPr>
              <w:t>1.5 hours</w:t>
            </w:r>
          </w:p>
        </w:tc>
        <w:tc>
          <w:tcPr>
            <w:tcW w:w="864" w:type="dxa"/>
          </w:tcPr>
          <w:p w:rsidR="00FF00C2" w:rsidRPr="008254BF" w:rsidRDefault="00FF00C2" w:rsidP="00D21044">
            <w:pPr>
              <w:jc w:val="both"/>
              <w:rPr>
                <w:rFonts w:ascii="Arial" w:hAnsi="Arial" w:cs="Arial"/>
              </w:rPr>
            </w:pPr>
            <w:r w:rsidRPr="008254BF">
              <w:rPr>
                <w:rFonts w:ascii="Arial" w:hAnsi="Arial" w:cs="Arial"/>
              </w:rPr>
              <w:t>10.00</w:t>
            </w:r>
          </w:p>
        </w:tc>
        <w:tc>
          <w:tcPr>
            <w:tcW w:w="1774" w:type="dxa"/>
          </w:tcPr>
          <w:p w:rsidR="00FF00C2" w:rsidRPr="008254BF" w:rsidRDefault="00FF00C2" w:rsidP="00D21044">
            <w:pPr>
              <w:jc w:val="both"/>
              <w:rPr>
                <w:rFonts w:ascii="Arial" w:hAnsi="Arial" w:cs="Arial"/>
              </w:rPr>
            </w:pPr>
            <w:r w:rsidRPr="008254BF">
              <w:rPr>
                <w:rFonts w:ascii="Arial" w:hAnsi="Arial" w:cs="Arial"/>
              </w:rPr>
              <w:t>15.00</w:t>
            </w:r>
          </w:p>
        </w:tc>
      </w:tr>
      <w:tr w:rsidR="00FF00C2" w:rsidRPr="008254BF" w:rsidTr="00AC543C">
        <w:tblPrEx>
          <w:tblCellMar>
            <w:top w:w="0" w:type="dxa"/>
            <w:bottom w:w="0" w:type="dxa"/>
          </w:tblCellMar>
        </w:tblPrEx>
        <w:trPr>
          <w:trHeight w:val="391"/>
        </w:trPr>
        <w:tc>
          <w:tcPr>
            <w:tcW w:w="2848" w:type="dxa"/>
          </w:tcPr>
          <w:p w:rsidR="00FF00C2" w:rsidRPr="008254BF" w:rsidRDefault="00FF00C2" w:rsidP="00D21044">
            <w:pPr>
              <w:jc w:val="both"/>
              <w:rPr>
                <w:rFonts w:ascii="Arial" w:hAnsi="Arial" w:cs="Arial"/>
                <w:b/>
              </w:rPr>
            </w:pPr>
            <w:r w:rsidRPr="008254BF">
              <w:rPr>
                <w:rFonts w:ascii="Arial" w:hAnsi="Arial" w:cs="Arial"/>
                <w:b/>
              </w:rPr>
              <w:t>Variable Overhead</w:t>
            </w:r>
          </w:p>
        </w:tc>
        <w:tc>
          <w:tcPr>
            <w:tcW w:w="1080" w:type="dxa"/>
          </w:tcPr>
          <w:p w:rsidR="00FF00C2" w:rsidRPr="008254BF" w:rsidRDefault="00FF00C2" w:rsidP="00D21044">
            <w:pPr>
              <w:jc w:val="both"/>
              <w:rPr>
                <w:rFonts w:ascii="Arial" w:hAnsi="Arial" w:cs="Arial"/>
              </w:rPr>
            </w:pPr>
            <w:r w:rsidRPr="008254BF">
              <w:rPr>
                <w:rFonts w:ascii="Arial" w:hAnsi="Arial" w:cs="Arial"/>
              </w:rPr>
              <w:t xml:space="preserve">4.5 </w:t>
            </w:r>
            <w:r w:rsidRPr="008254BF">
              <w:rPr>
                <w:rFonts w:ascii="Arial" w:hAnsi="Arial" w:cs="Arial"/>
              </w:rPr>
              <w:lastRenderedPageBreak/>
              <w:t>hours</w:t>
            </w:r>
          </w:p>
        </w:tc>
        <w:tc>
          <w:tcPr>
            <w:tcW w:w="864" w:type="dxa"/>
          </w:tcPr>
          <w:p w:rsidR="00FF00C2" w:rsidRPr="008254BF" w:rsidRDefault="00AC543C" w:rsidP="00D21044">
            <w:pPr>
              <w:jc w:val="both"/>
              <w:rPr>
                <w:rFonts w:ascii="Arial" w:hAnsi="Arial" w:cs="Arial"/>
              </w:rPr>
            </w:pPr>
            <w:r w:rsidRPr="008254BF">
              <w:rPr>
                <w:rFonts w:ascii="Arial" w:hAnsi="Arial" w:cs="Arial"/>
              </w:rPr>
              <w:lastRenderedPageBreak/>
              <w:t>2.00</w:t>
            </w:r>
          </w:p>
        </w:tc>
        <w:tc>
          <w:tcPr>
            <w:tcW w:w="1774" w:type="dxa"/>
          </w:tcPr>
          <w:p w:rsidR="00FF00C2" w:rsidRPr="008254BF" w:rsidRDefault="00AC543C" w:rsidP="00D21044">
            <w:pPr>
              <w:jc w:val="both"/>
              <w:rPr>
                <w:rFonts w:ascii="Arial" w:hAnsi="Arial" w:cs="Arial"/>
              </w:rPr>
            </w:pPr>
            <w:r w:rsidRPr="008254BF">
              <w:rPr>
                <w:rFonts w:ascii="Arial" w:hAnsi="Arial" w:cs="Arial"/>
              </w:rPr>
              <w:t>9.00</w:t>
            </w:r>
          </w:p>
        </w:tc>
      </w:tr>
      <w:tr w:rsidR="00FF00C2" w:rsidRPr="008254BF" w:rsidTr="00AC543C">
        <w:tblPrEx>
          <w:tblCellMar>
            <w:top w:w="0" w:type="dxa"/>
            <w:bottom w:w="0" w:type="dxa"/>
          </w:tblCellMar>
        </w:tblPrEx>
        <w:trPr>
          <w:trHeight w:val="288"/>
        </w:trPr>
        <w:tc>
          <w:tcPr>
            <w:tcW w:w="2848" w:type="dxa"/>
          </w:tcPr>
          <w:p w:rsidR="00FF00C2" w:rsidRPr="008254BF" w:rsidRDefault="00AC543C" w:rsidP="00AC543C">
            <w:pPr>
              <w:rPr>
                <w:rFonts w:ascii="Arial" w:hAnsi="Arial" w:cs="Arial"/>
                <w:b/>
              </w:rPr>
            </w:pPr>
            <w:r w:rsidRPr="008254BF">
              <w:rPr>
                <w:rFonts w:ascii="Arial" w:hAnsi="Arial" w:cs="Arial"/>
                <w:b/>
              </w:rPr>
              <w:lastRenderedPageBreak/>
              <w:t>Total Standard Cost per Unit</w:t>
            </w:r>
          </w:p>
        </w:tc>
        <w:tc>
          <w:tcPr>
            <w:tcW w:w="1080" w:type="dxa"/>
          </w:tcPr>
          <w:p w:rsidR="00FF00C2" w:rsidRPr="008254BF" w:rsidRDefault="00FF00C2" w:rsidP="00D21044">
            <w:pPr>
              <w:jc w:val="both"/>
              <w:rPr>
                <w:rFonts w:ascii="Arial" w:hAnsi="Arial" w:cs="Arial"/>
              </w:rPr>
            </w:pPr>
          </w:p>
        </w:tc>
        <w:tc>
          <w:tcPr>
            <w:tcW w:w="864" w:type="dxa"/>
          </w:tcPr>
          <w:p w:rsidR="00FF00C2" w:rsidRPr="008254BF" w:rsidRDefault="00FF00C2" w:rsidP="00D21044">
            <w:pPr>
              <w:jc w:val="both"/>
              <w:rPr>
                <w:rFonts w:ascii="Arial" w:hAnsi="Arial" w:cs="Arial"/>
              </w:rPr>
            </w:pPr>
          </w:p>
        </w:tc>
        <w:tc>
          <w:tcPr>
            <w:tcW w:w="1774" w:type="dxa"/>
          </w:tcPr>
          <w:p w:rsidR="00FF00C2" w:rsidRPr="008254BF" w:rsidRDefault="00AC543C" w:rsidP="00D21044">
            <w:pPr>
              <w:jc w:val="both"/>
              <w:rPr>
                <w:rFonts w:ascii="Arial" w:hAnsi="Arial" w:cs="Arial"/>
              </w:rPr>
            </w:pPr>
            <w:r w:rsidRPr="008254BF">
              <w:rPr>
                <w:rFonts w:ascii="Arial" w:hAnsi="Arial" w:cs="Arial"/>
              </w:rPr>
              <w:t>$86.00</w:t>
            </w:r>
          </w:p>
        </w:tc>
      </w:tr>
    </w:tbl>
    <w:p w:rsidR="00FF00C2" w:rsidRPr="008254BF" w:rsidRDefault="00FF00C2" w:rsidP="00D21044">
      <w:pPr>
        <w:jc w:val="both"/>
        <w:rPr>
          <w:rFonts w:ascii="Arial" w:hAnsi="Arial" w:cs="Arial"/>
        </w:rPr>
      </w:pPr>
    </w:p>
    <w:p w:rsidR="00AC543C" w:rsidRPr="008254BF" w:rsidRDefault="00AC543C" w:rsidP="00D21044">
      <w:pPr>
        <w:jc w:val="both"/>
        <w:rPr>
          <w:rFonts w:ascii="Arial" w:hAnsi="Arial" w:cs="Arial"/>
        </w:rPr>
      </w:pPr>
      <w:r w:rsidRPr="008254BF">
        <w:rPr>
          <w:rFonts w:ascii="Arial" w:hAnsi="Arial" w:cs="Arial"/>
        </w:rPr>
        <w:t>Ben Fun prepares monthly performance reports based on standard costs. Presented in the following table is the contribution report for May, when production and sales both reached 2,200 units: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435"/>
        <w:gridCol w:w="2408"/>
        <w:gridCol w:w="2545"/>
      </w:tblGrid>
      <w:tr w:rsidR="00AC543C" w:rsidRPr="008254BF" w:rsidTr="00AC543C">
        <w:tblPrEx>
          <w:tblCellMar>
            <w:top w:w="0" w:type="dxa"/>
            <w:bottom w:w="0" w:type="dxa"/>
          </w:tblCellMar>
        </w:tblPrEx>
        <w:trPr>
          <w:trHeight w:val="564"/>
        </w:trPr>
        <w:tc>
          <w:tcPr>
            <w:tcW w:w="9481" w:type="dxa"/>
            <w:gridSpan w:val="4"/>
          </w:tcPr>
          <w:p w:rsidR="00AC543C" w:rsidRPr="008254BF" w:rsidRDefault="00AC543C" w:rsidP="00AC543C">
            <w:pPr>
              <w:ind w:left="23"/>
              <w:jc w:val="center"/>
              <w:rPr>
                <w:rFonts w:ascii="Arial" w:hAnsi="Arial" w:cs="Arial"/>
                <w:b/>
              </w:rPr>
            </w:pPr>
            <w:r w:rsidRPr="008254BF">
              <w:rPr>
                <w:rFonts w:ascii="Arial" w:hAnsi="Arial" w:cs="Arial"/>
                <w:b/>
              </w:rPr>
              <w:t>BEN FUN, INC. CONTRIBUTION REPORT FOR MAY</w:t>
            </w:r>
          </w:p>
        </w:tc>
      </w:tr>
      <w:tr w:rsidR="00AC543C" w:rsidRPr="008254BF" w:rsidTr="00AC543C">
        <w:tblPrEx>
          <w:tblCellMar>
            <w:top w:w="0" w:type="dxa"/>
            <w:bottom w:w="0" w:type="dxa"/>
          </w:tblCellMar>
        </w:tblPrEx>
        <w:trPr>
          <w:trHeight w:val="530"/>
        </w:trPr>
        <w:tc>
          <w:tcPr>
            <w:tcW w:w="2093" w:type="dxa"/>
          </w:tcPr>
          <w:p w:rsidR="00AC543C" w:rsidRPr="008254BF" w:rsidRDefault="00AC543C" w:rsidP="00AC543C">
            <w:pPr>
              <w:ind w:left="23"/>
              <w:jc w:val="both"/>
              <w:rPr>
                <w:rFonts w:ascii="Arial" w:hAnsi="Arial" w:cs="Arial"/>
              </w:rPr>
            </w:pPr>
          </w:p>
        </w:tc>
        <w:tc>
          <w:tcPr>
            <w:tcW w:w="2435" w:type="dxa"/>
          </w:tcPr>
          <w:p w:rsidR="00AC543C" w:rsidRPr="008254BF" w:rsidRDefault="00AC543C" w:rsidP="00AC543C">
            <w:pPr>
              <w:ind w:left="23"/>
              <w:jc w:val="both"/>
              <w:rPr>
                <w:rFonts w:ascii="Arial" w:hAnsi="Arial" w:cs="Arial"/>
              </w:rPr>
            </w:pPr>
            <w:r w:rsidRPr="008254BF">
              <w:rPr>
                <w:rFonts w:ascii="Arial" w:hAnsi="Arial" w:cs="Arial"/>
              </w:rPr>
              <w:t>Budget</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Actual</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Variance</w:t>
            </w:r>
          </w:p>
        </w:tc>
      </w:tr>
      <w:tr w:rsidR="00AC543C" w:rsidRPr="008254BF" w:rsidTr="00AC543C">
        <w:tblPrEx>
          <w:tblCellMar>
            <w:top w:w="0" w:type="dxa"/>
            <w:bottom w:w="0" w:type="dxa"/>
          </w:tblCellMar>
        </w:tblPrEx>
        <w:trPr>
          <w:trHeight w:val="633"/>
        </w:trPr>
        <w:tc>
          <w:tcPr>
            <w:tcW w:w="2093" w:type="dxa"/>
          </w:tcPr>
          <w:p w:rsidR="00AC543C" w:rsidRPr="008254BF" w:rsidRDefault="00AC543C" w:rsidP="00AC543C">
            <w:pPr>
              <w:ind w:left="23"/>
              <w:jc w:val="both"/>
              <w:rPr>
                <w:rFonts w:ascii="Arial" w:hAnsi="Arial" w:cs="Arial"/>
              </w:rPr>
            </w:pPr>
            <w:r w:rsidRPr="008254BF">
              <w:rPr>
                <w:rFonts w:ascii="Arial" w:hAnsi="Arial" w:cs="Arial"/>
              </w:rPr>
              <w:t>Units</w:t>
            </w:r>
          </w:p>
        </w:tc>
        <w:tc>
          <w:tcPr>
            <w:tcW w:w="2435" w:type="dxa"/>
          </w:tcPr>
          <w:p w:rsidR="00AC543C" w:rsidRPr="008254BF" w:rsidRDefault="00AC543C" w:rsidP="00AC543C">
            <w:pPr>
              <w:ind w:left="23"/>
              <w:jc w:val="both"/>
              <w:rPr>
                <w:rFonts w:ascii="Arial" w:hAnsi="Arial" w:cs="Arial"/>
              </w:rPr>
            </w:pPr>
            <w:r w:rsidRPr="008254BF">
              <w:rPr>
                <w:rFonts w:ascii="Arial" w:hAnsi="Arial" w:cs="Arial"/>
              </w:rPr>
              <w:t>2,000</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2,200</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200F</w:t>
            </w:r>
          </w:p>
        </w:tc>
      </w:tr>
      <w:tr w:rsidR="00AC543C" w:rsidRPr="008254BF" w:rsidTr="00AC543C">
        <w:tblPrEx>
          <w:tblCellMar>
            <w:top w:w="0" w:type="dxa"/>
            <w:bottom w:w="0" w:type="dxa"/>
          </w:tblCellMar>
        </w:tblPrEx>
        <w:trPr>
          <w:trHeight w:val="345"/>
        </w:trPr>
        <w:tc>
          <w:tcPr>
            <w:tcW w:w="2093" w:type="dxa"/>
          </w:tcPr>
          <w:p w:rsidR="00AC543C" w:rsidRPr="008254BF" w:rsidRDefault="00AC543C" w:rsidP="00AC543C">
            <w:pPr>
              <w:ind w:left="23"/>
              <w:jc w:val="both"/>
              <w:rPr>
                <w:rFonts w:ascii="Arial" w:hAnsi="Arial" w:cs="Arial"/>
                <w:b/>
              </w:rPr>
            </w:pPr>
            <w:r w:rsidRPr="008254BF">
              <w:rPr>
                <w:rFonts w:ascii="Arial" w:hAnsi="Arial" w:cs="Arial"/>
                <w:b/>
              </w:rPr>
              <w:t>Revenue</w:t>
            </w:r>
          </w:p>
        </w:tc>
        <w:tc>
          <w:tcPr>
            <w:tcW w:w="2435" w:type="dxa"/>
          </w:tcPr>
          <w:p w:rsidR="00AC543C" w:rsidRPr="008254BF" w:rsidRDefault="00AC543C" w:rsidP="00AC543C">
            <w:pPr>
              <w:ind w:left="23"/>
              <w:jc w:val="both"/>
              <w:rPr>
                <w:rFonts w:ascii="Arial" w:hAnsi="Arial" w:cs="Arial"/>
              </w:rPr>
            </w:pPr>
            <w:r w:rsidRPr="008254BF">
              <w:rPr>
                <w:rFonts w:ascii="Arial" w:hAnsi="Arial" w:cs="Arial"/>
              </w:rPr>
              <w:t>$200,000</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$220,000</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$20,000F</w:t>
            </w:r>
          </w:p>
        </w:tc>
      </w:tr>
      <w:tr w:rsidR="00AC543C" w:rsidRPr="008254BF" w:rsidTr="00AC543C">
        <w:tblPrEx>
          <w:tblCellMar>
            <w:top w:w="0" w:type="dxa"/>
            <w:bottom w:w="0" w:type="dxa"/>
          </w:tblCellMar>
        </w:tblPrEx>
        <w:trPr>
          <w:trHeight w:val="587"/>
        </w:trPr>
        <w:tc>
          <w:tcPr>
            <w:tcW w:w="2093" w:type="dxa"/>
          </w:tcPr>
          <w:p w:rsidR="00AC543C" w:rsidRPr="008254BF" w:rsidRDefault="00AC543C" w:rsidP="00AC543C">
            <w:pPr>
              <w:ind w:left="23"/>
              <w:jc w:val="both"/>
              <w:rPr>
                <w:rFonts w:ascii="Arial" w:hAnsi="Arial" w:cs="Arial"/>
                <w:b/>
              </w:rPr>
            </w:pPr>
            <w:r w:rsidRPr="008254BF">
              <w:rPr>
                <w:rFonts w:ascii="Arial" w:hAnsi="Arial" w:cs="Arial"/>
                <w:b/>
              </w:rPr>
              <w:t>Variable Costs</w:t>
            </w:r>
          </w:p>
        </w:tc>
        <w:tc>
          <w:tcPr>
            <w:tcW w:w="2435" w:type="dxa"/>
          </w:tcPr>
          <w:p w:rsidR="00AC543C" w:rsidRPr="008254BF" w:rsidRDefault="00AC543C" w:rsidP="00AC543C">
            <w:pPr>
              <w:ind w:left="23"/>
              <w:jc w:val="both"/>
              <w:rPr>
                <w:rFonts w:ascii="Arial" w:hAnsi="Arial" w:cs="Arial"/>
              </w:rPr>
            </w:pPr>
          </w:p>
        </w:tc>
        <w:tc>
          <w:tcPr>
            <w:tcW w:w="2408" w:type="dxa"/>
          </w:tcPr>
          <w:p w:rsidR="00AC543C" w:rsidRPr="008254BF" w:rsidRDefault="00AC543C" w:rsidP="00AC543C">
            <w:pPr>
              <w:ind w:left="23"/>
              <w:jc w:val="both"/>
              <w:rPr>
                <w:rFonts w:ascii="Arial" w:hAnsi="Arial" w:cs="Arial"/>
              </w:rPr>
            </w:pPr>
          </w:p>
        </w:tc>
        <w:tc>
          <w:tcPr>
            <w:tcW w:w="2545" w:type="dxa"/>
          </w:tcPr>
          <w:p w:rsidR="00AC543C" w:rsidRPr="008254BF" w:rsidRDefault="00AC543C" w:rsidP="00AC543C">
            <w:pPr>
              <w:ind w:left="23"/>
              <w:jc w:val="both"/>
              <w:rPr>
                <w:rFonts w:ascii="Arial" w:hAnsi="Arial" w:cs="Arial"/>
              </w:rPr>
            </w:pPr>
          </w:p>
        </w:tc>
      </w:tr>
      <w:tr w:rsidR="00AC543C" w:rsidRPr="008254BF" w:rsidTr="00AC543C">
        <w:tblPrEx>
          <w:tblCellMar>
            <w:top w:w="0" w:type="dxa"/>
            <w:bottom w:w="0" w:type="dxa"/>
          </w:tblCellMar>
        </w:tblPrEx>
        <w:trPr>
          <w:trHeight w:val="506"/>
        </w:trPr>
        <w:tc>
          <w:tcPr>
            <w:tcW w:w="2093" w:type="dxa"/>
          </w:tcPr>
          <w:p w:rsidR="00AC543C" w:rsidRPr="008254BF" w:rsidRDefault="00AC543C" w:rsidP="00AC543C">
            <w:pPr>
              <w:ind w:left="23"/>
              <w:jc w:val="both"/>
              <w:rPr>
                <w:rFonts w:ascii="Arial" w:hAnsi="Arial" w:cs="Arial"/>
              </w:rPr>
            </w:pPr>
            <w:r w:rsidRPr="008254BF">
              <w:rPr>
                <w:rFonts w:ascii="Arial" w:hAnsi="Arial" w:cs="Arial"/>
              </w:rPr>
              <w:t>Direct materials</w:t>
            </w:r>
          </w:p>
        </w:tc>
        <w:tc>
          <w:tcPr>
            <w:tcW w:w="2435" w:type="dxa"/>
          </w:tcPr>
          <w:p w:rsidR="00AC543C" w:rsidRPr="008254BF" w:rsidRDefault="00AC543C" w:rsidP="00AC543C">
            <w:pPr>
              <w:ind w:left="23"/>
              <w:jc w:val="both"/>
              <w:rPr>
                <w:rFonts w:ascii="Arial" w:hAnsi="Arial" w:cs="Arial"/>
              </w:rPr>
            </w:pPr>
            <w:r w:rsidRPr="008254BF">
              <w:rPr>
                <w:rFonts w:ascii="Arial" w:hAnsi="Arial" w:cs="Arial"/>
              </w:rPr>
              <w:t>$74,000</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$85,000</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$11,600U</w:t>
            </w:r>
          </w:p>
        </w:tc>
      </w:tr>
      <w:tr w:rsidR="00AC543C" w:rsidRPr="008254BF" w:rsidTr="00AC543C">
        <w:tblPrEx>
          <w:tblCellMar>
            <w:top w:w="0" w:type="dxa"/>
            <w:bottom w:w="0" w:type="dxa"/>
          </w:tblCellMar>
        </w:tblPrEx>
        <w:trPr>
          <w:trHeight w:val="403"/>
        </w:trPr>
        <w:tc>
          <w:tcPr>
            <w:tcW w:w="2093" w:type="dxa"/>
          </w:tcPr>
          <w:p w:rsidR="00AC543C" w:rsidRPr="008254BF" w:rsidRDefault="00AC543C" w:rsidP="00AC543C">
            <w:pPr>
              <w:ind w:left="23"/>
              <w:jc w:val="both"/>
              <w:rPr>
                <w:rFonts w:ascii="Arial" w:hAnsi="Arial" w:cs="Arial"/>
              </w:rPr>
            </w:pPr>
            <w:r w:rsidRPr="008254BF">
              <w:rPr>
                <w:rFonts w:ascii="Arial" w:hAnsi="Arial" w:cs="Arial"/>
              </w:rPr>
              <w:t>Direct labor</w:t>
            </w:r>
          </w:p>
        </w:tc>
        <w:tc>
          <w:tcPr>
            <w:tcW w:w="2435" w:type="dxa"/>
          </w:tcPr>
          <w:p w:rsidR="00AC543C" w:rsidRPr="008254BF" w:rsidRDefault="00AC543C" w:rsidP="00AC543C">
            <w:pPr>
              <w:ind w:left="23"/>
              <w:jc w:val="both"/>
              <w:rPr>
                <w:rFonts w:ascii="Arial" w:hAnsi="Arial" w:cs="Arial"/>
              </w:rPr>
            </w:pPr>
            <w:r w:rsidRPr="008254BF">
              <w:rPr>
                <w:rFonts w:ascii="Arial" w:hAnsi="Arial" w:cs="Arial"/>
              </w:rPr>
              <w:t>$80,000</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93,460</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13,460U</w:t>
            </w:r>
          </w:p>
        </w:tc>
      </w:tr>
      <w:tr w:rsidR="00AC543C" w:rsidRPr="008254BF" w:rsidTr="00AC543C">
        <w:tblPrEx>
          <w:tblCellMar>
            <w:top w:w="0" w:type="dxa"/>
            <w:bottom w:w="0" w:type="dxa"/>
          </w:tblCellMar>
        </w:tblPrEx>
        <w:trPr>
          <w:trHeight w:val="288"/>
        </w:trPr>
        <w:tc>
          <w:tcPr>
            <w:tcW w:w="2093" w:type="dxa"/>
          </w:tcPr>
          <w:p w:rsidR="00AC543C" w:rsidRPr="008254BF" w:rsidRDefault="00AC543C" w:rsidP="00AC543C">
            <w:pPr>
              <w:ind w:left="23"/>
              <w:jc w:val="both"/>
              <w:rPr>
                <w:rFonts w:ascii="Arial" w:hAnsi="Arial" w:cs="Arial"/>
              </w:rPr>
            </w:pPr>
            <w:r w:rsidRPr="008254BF">
              <w:rPr>
                <w:rFonts w:ascii="Arial" w:hAnsi="Arial" w:cs="Arial"/>
              </w:rPr>
              <w:t>Variable overhead</w:t>
            </w:r>
          </w:p>
        </w:tc>
        <w:tc>
          <w:tcPr>
            <w:tcW w:w="2435" w:type="dxa"/>
          </w:tcPr>
          <w:p w:rsidR="00AC543C" w:rsidRPr="008254BF" w:rsidRDefault="00AC543C" w:rsidP="00AC543C">
            <w:pPr>
              <w:ind w:left="23"/>
              <w:jc w:val="both"/>
              <w:rPr>
                <w:rFonts w:ascii="Arial" w:hAnsi="Arial" w:cs="Arial"/>
              </w:rPr>
            </w:pPr>
            <w:r w:rsidRPr="008254BF">
              <w:rPr>
                <w:rFonts w:ascii="Arial" w:hAnsi="Arial" w:cs="Arial"/>
              </w:rPr>
              <w:t>18,000</w:t>
            </w:r>
          </w:p>
        </w:tc>
        <w:tc>
          <w:tcPr>
            <w:tcW w:w="2408" w:type="dxa"/>
          </w:tcPr>
          <w:p w:rsidR="00AC543C" w:rsidRPr="008254BF" w:rsidRDefault="00AC543C" w:rsidP="00AC543C">
            <w:pPr>
              <w:ind w:left="23"/>
              <w:jc w:val="both"/>
              <w:rPr>
                <w:rFonts w:ascii="Arial" w:hAnsi="Arial" w:cs="Arial"/>
              </w:rPr>
            </w:pPr>
            <w:r w:rsidRPr="008254BF">
              <w:rPr>
                <w:rFonts w:ascii="Arial" w:hAnsi="Arial" w:cs="Arial"/>
              </w:rPr>
              <w:t>18,800</w:t>
            </w:r>
          </w:p>
        </w:tc>
        <w:tc>
          <w:tcPr>
            <w:tcW w:w="2545" w:type="dxa"/>
          </w:tcPr>
          <w:p w:rsidR="00AC543C" w:rsidRPr="008254BF" w:rsidRDefault="00AC543C" w:rsidP="00AC543C">
            <w:pPr>
              <w:ind w:left="23"/>
              <w:jc w:val="both"/>
              <w:rPr>
                <w:rFonts w:ascii="Arial" w:hAnsi="Arial" w:cs="Arial"/>
              </w:rPr>
            </w:pPr>
            <w:r w:rsidRPr="008254BF">
              <w:rPr>
                <w:rFonts w:ascii="Arial" w:hAnsi="Arial" w:cs="Arial"/>
              </w:rPr>
              <w:t>800U</w:t>
            </w:r>
          </w:p>
        </w:tc>
      </w:tr>
      <w:tr w:rsidR="00AC543C" w:rsidRPr="008254BF" w:rsidTr="00AC543C">
        <w:tblPrEx>
          <w:tblCellMar>
            <w:top w:w="0" w:type="dxa"/>
            <w:bottom w:w="0" w:type="dxa"/>
          </w:tblCellMar>
        </w:tblPrEx>
        <w:trPr>
          <w:trHeight w:val="218"/>
        </w:trPr>
        <w:tc>
          <w:tcPr>
            <w:tcW w:w="2093" w:type="dxa"/>
          </w:tcPr>
          <w:p w:rsidR="00AC543C" w:rsidRPr="008254BF" w:rsidRDefault="00AC543C" w:rsidP="00AC543C">
            <w:pPr>
              <w:ind w:left="23"/>
              <w:rPr>
                <w:rFonts w:ascii="Arial" w:hAnsi="Arial" w:cs="Arial"/>
              </w:rPr>
            </w:pPr>
            <w:r w:rsidRPr="008254BF">
              <w:rPr>
                <w:rFonts w:ascii="Arial" w:hAnsi="Arial" w:cs="Arial"/>
              </w:rPr>
              <w:t>Total variable costs</w:t>
            </w:r>
          </w:p>
        </w:tc>
        <w:tc>
          <w:tcPr>
            <w:tcW w:w="2435" w:type="dxa"/>
          </w:tcPr>
          <w:p w:rsidR="00AC543C" w:rsidRPr="008254BF" w:rsidRDefault="00456053" w:rsidP="00AC543C">
            <w:pPr>
              <w:ind w:left="23"/>
              <w:jc w:val="both"/>
              <w:rPr>
                <w:rFonts w:ascii="Arial" w:hAnsi="Arial" w:cs="Arial"/>
              </w:rPr>
            </w:pPr>
            <w:r w:rsidRPr="008254BF">
              <w:rPr>
                <w:rFonts w:ascii="Arial" w:hAnsi="Arial" w:cs="Arial"/>
              </w:rPr>
              <w:t>$172,000</w:t>
            </w:r>
          </w:p>
        </w:tc>
        <w:tc>
          <w:tcPr>
            <w:tcW w:w="2408" w:type="dxa"/>
          </w:tcPr>
          <w:p w:rsidR="00AC543C" w:rsidRPr="008254BF" w:rsidRDefault="00456053" w:rsidP="00AC543C">
            <w:pPr>
              <w:ind w:left="23"/>
              <w:jc w:val="both"/>
              <w:rPr>
                <w:rFonts w:ascii="Arial" w:hAnsi="Arial" w:cs="Arial"/>
              </w:rPr>
            </w:pPr>
            <w:r w:rsidRPr="008254BF">
              <w:rPr>
                <w:rFonts w:ascii="Arial" w:hAnsi="Arial" w:cs="Arial"/>
              </w:rPr>
              <w:t>$197,860</w:t>
            </w:r>
          </w:p>
        </w:tc>
        <w:tc>
          <w:tcPr>
            <w:tcW w:w="2545" w:type="dxa"/>
          </w:tcPr>
          <w:p w:rsidR="00AC543C" w:rsidRPr="008254BF" w:rsidRDefault="00456053" w:rsidP="00AC543C">
            <w:pPr>
              <w:ind w:left="23"/>
              <w:jc w:val="both"/>
              <w:rPr>
                <w:rFonts w:ascii="Arial" w:hAnsi="Arial" w:cs="Arial"/>
              </w:rPr>
            </w:pPr>
            <w:r w:rsidRPr="008254BF">
              <w:rPr>
                <w:rFonts w:ascii="Arial" w:hAnsi="Arial" w:cs="Arial"/>
              </w:rPr>
              <w:t>$25,860U</w:t>
            </w:r>
          </w:p>
        </w:tc>
      </w:tr>
      <w:tr w:rsidR="00AC543C" w:rsidRPr="008254BF" w:rsidTr="00AC543C">
        <w:tblPrEx>
          <w:tblCellMar>
            <w:top w:w="0" w:type="dxa"/>
            <w:bottom w:w="0" w:type="dxa"/>
          </w:tblCellMar>
        </w:tblPrEx>
        <w:trPr>
          <w:trHeight w:val="288"/>
        </w:trPr>
        <w:tc>
          <w:tcPr>
            <w:tcW w:w="2093" w:type="dxa"/>
          </w:tcPr>
          <w:p w:rsidR="00AC543C" w:rsidRPr="008254BF" w:rsidRDefault="00AC543C" w:rsidP="00AC543C">
            <w:pPr>
              <w:jc w:val="both"/>
              <w:rPr>
                <w:rFonts w:ascii="Arial" w:hAnsi="Arial" w:cs="Arial"/>
                <w:b/>
              </w:rPr>
            </w:pPr>
            <w:r w:rsidRPr="008254BF">
              <w:rPr>
                <w:rFonts w:ascii="Arial" w:hAnsi="Arial" w:cs="Arial"/>
                <w:b/>
              </w:rPr>
              <w:t>Contribution Margin</w:t>
            </w:r>
          </w:p>
        </w:tc>
        <w:tc>
          <w:tcPr>
            <w:tcW w:w="2435" w:type="dxa"/>
          </w:tcPr>
          <w:p w:rsidR="00AC543C" w:rsidRPr="008254BF" w:rsidRDefault="00456053" w:rsidP="00AC543C">
            <w:pPr>
              <w:ind w:left="23"/>
              <w:jc w:val="both"/>
              <w:rPr>
                <w:rFonts w:ascii="Arial" w:hAnsi="Arial" w:cs="Arial"/>
              </w:rPr>
            </w:pPr>
            <w:r w:rsidRPr="008254BF">
              <w:rPr>
                <w:rFonts w:ascii="Arial" w:hAnsi="Arial" w:cs="Arial"/>
              </w:rPr>
              <w:t>$28,000</w:t>
            </w:r>
          </w:p>
        </w:tc>
        <w:tc>
          <w:tcPr>
            <w:tcW w:w="2408" w:type="dxa"/>
          </w:tcPr>
          <w:p w:rsidR="00AC543C" w:rsidRPr="008254BF" w:rsidRDefault="00456053" w:rsidP="00AC543C">
            <w:pPr>
              <w:ind w:left="23"/>
              <w:jc w:val="both"/>
              <w:rPr>
                <w:rFonts w:ascii="Arial" w:hAnsi="Arial" w:cs="Arial"/>
              </w:rPr>
            </w:pPr>
            <w:r w:rsidRPr="008254BF">
              <w:rPr>
                <w:rFonts w:ascii="Arial" w:hAnsi="Arial" w:cs="Arial"/>
              </w:rPr>
              <w:t>$22,140</w:t>
            </w:r>
          </w:p>
        </w:tc>
        <w:tc>
          <w:tcPr>
            <w:tcW w:w="2545" w:type="dxa"/>
          </w:tcPr>
          <w:p w:rsidR="00AC543C" w:rsidRPr="008254BF" w:rsidRDefault="00456053" w:rsidP="00AC543C">
            <w:pPr>
              <w:ind w:left="23"/>
              <w:jc w:val="both"/>
              <w:rPr>
                <w:rFonts w:ascii="Arial" w:hAnsi="Arial" w:cs="Arial"/>
              </w:rPr>
            </w:pPr>
            <w:r w:rsidRPr="008254BF">
              <w:rPr>
                <w:rFonts w:ascii="Arial" w:hAnsi="Arial" w:cs="Arial"/>
              </w:rPr>
              <w:t>$5,860U</w:t>
            </w:r>
          </w:p>
        </w:tc>
      </w:tr>
    </w:tbl>
    <w:p w:rsidR="00FF00C2" w:rsidRPr="008254BF" w:rsidRDefault="00FF00C2" w:rsidP="00FF00C2">
      <w:pPr>
        <w:rPr>
          <w:rFonts w:ascii="Arial" w:hAnsi="Arial" w:cs="Arial"/>
        </w:rPr>
      </w:pPr>
    </w:p>
    <w:p w:rsidR="00456053" w:rsidRPr="008254BF" w:rsidRDefault="00456053" w:rsidP="00456053">
      <w:pPr>
        <w:spacing w:line="240" w:lineRule="auto"/>
        <w:rPr>
          <w:rFonts w:ascii="Arial" w:hAnsi="Arial" w:cs="Arial"/>
        </w:rPr>
      </w:pPr>
      <w:r w:rsidRPr="008254BF">
        <w:rPr>
          <w:rFonts w:ascii="Arial" w:hAnsi="Arial" w:cs="Arial"/>
        </w:rPr>
        <w:t>Ben Fun’s top management was surprised by unfavorable contribution margin, given the increased sales in May. Al Miller, the cost accountant, was assigned to identify and report on the reasons for the unfavorable contribution margin results as well as the individuals or groups responsible. After completing his review, Miller prepared the following usage report:</w:t>
      </w:r>
    </w:p>
    <w:p w:rsidR="00456053" w:rsidRPr="008254BF" w:rsidRDefault="00456053" w:rsidP="00456053">
      <w:pPr>
        <w:spacing w:line="240" w:lineRule="auto"/>
        <w:rPr>
          <w:rFonts w:ascii="Arial" w:hAnsi="Arial" w:cs="Arial"/>
        </w:rPr>
      </w:pPr>
    </w:p>
    <w:tbl>
      <w:tblPr>
        <w:tblW w:w="102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35"/>
        <w:gridCol w:w="3559"/>
        <w:gridCol w:w="3675"/>
      </w:tblGrid>
      <w:tr w:rsidR="00456053" w:rsidRPr="008254BF" w:rsidTr="00456053">
        <w:tblPrEx>
          <w:tblCellMar>
            <w:top w:w="0" w:type="dxa"/>
            <w:bottom w:w="0" w:type="dxa"/>
          </w:tblCellMar>
        </w:tblPrEx>
        <w:trPr>
          <w:trHeight w:val="426"/>
        </w:trPr>
        <w:tc>
          <w:tcPr>
            <w:tcW w:w="10241" w:type="dxa"/>
            <w:gridSpan w:val="4"/>
          </w:tcPr>
          <w:p w:rsidR="00456053" w:rsidRPr="008254BF" w:rsidRDefault="00456053" w:rsidP="00456053">
            <w:pPr>
              <w:spacing w:line="240" w:lineRule="auto"/>
              <w:jc w:val="center"/>
              <w:rPr>
                <w:rFonts w:ascii="Arial" w:hAnsi="Arial" w:cs="Arial"/>
                <w:b/>
              </w:rPr>
            </w:pPr>
            <w:r w:rsidRPr="008254BF">
              <w:rPr>
                <w:rFonts w:ascii="Arial" w:hAnsi="Arial" w:cs="Arial"/>
                <w:b/>
              </w:rPr>
              <w:t>BEN FUN, INC. USAGE REPORT FOR MAY</w:t>
            </w:r>
          </w:p>
        </w:tc>
      </w:tr>
      <w:tr w:rsidR="00456053" w:rsidRPr="008254BF" w:rsidTr="008254BF">
        <w:tblPrEx>
          <w:tblCellMar>
            <w:top w:w="0" w:type="dxa"/>
            <w:bottom w:w="0" w:type="dxa"/>
          </w:tblCellMar>
        </w:tblPrEx>
        <w:trPr>
          <w:trHeight w:val="449"/>
        </w:trPr>
        <w:tc>
          <w:tcPr>
            <w:tcW w:w="3007" w:type="dxa"/>
            <w:gridSpan w:val="2"/>
          </w:tcPr>
          <w:p w:rsidR="00456053" w:rsidRPr="008254BF" w:rsidRDefault="00456053" w:rsidP="00456053">
            <w:pPr>
              <w:spacing w:line="240" w:lineRule="auto"/>
              <w:rPr>
                <w:rFonts w:ascii="Arial" w:hAnsi="Arial" w:cs="Arial"/>
              </w:rPr>
            </w:pPr>
          </w:p>
        </w:tc>
        <w:tc>
          <w:tcPr>
            <w:tcW w:w="3559" w:type="dxa"/>
          </w:tcPr>
          <w:p w:rsidR="00456053" w:rsidRPr="008254BF" w:rsidRDefault="00456053" w:rsidP="00456053">
            <w:pPr>
              <w:spacing w:line="240" w:lineRule="auto"/>
              <w:rPr>
                <w:rFonts w:ascii="Arial" w:hAnsi="Arial" w:cs="Arial"/>
                <w:b/>
              </w:rPr>
            </w:pPr>
            <w:r w:rsidRPr="008254BF">
              <w:rPr>
                <w:rFonts w:ascii="Arial" w:hAnsi="Arial" w:cs="Arial"/>
                <w:b/>
              </w:rPr>
              <w:t>Quantity</w:t>
            </w:r>
          </w:p>
        </w:tc>
        <w:tc>
          <w:tcPr>
            <w:tcW w:w="3675" w:type="dxa"/>
          </w:tcPr>
          <w:p w:rsidR="00456053" w:rsidRPr="008254BF" w:rsidRDefault="00456053" w:rsidP="00456053">
            <w:pPr>
              <w:spacing w:line="240" w:lineRule="auto"/>
              <w:rPr>
                <w:rFonts w:ascii="Arial" w:hAnsi="Arial" w:cs="Arial"/>
                <w:b/>
              </w:rPr>
            </w:pPr>
            <w:r w:rsidRPr="008254BF">
              <w:rPr>
                <w:rFonts w:ascii="Arial" w:hAnsi="Arial" w:cs="Arial"/>
                <w:b/>
              </w:rPr>
              <w:t>Actual Cost</w:t>
            </w:r>
          </w:p>
        </w:tc>
      </w:tr>
      <w:tr w:rsidR="00456053" w:rsidRPr="008254BF" w:rsidTr="008254BF">
        <w:tblPrEx>
          <w:tblCellMar>
            <w:top w:w="0" w:type="dxa"/>
            <w:bottom w:w="0" w:type="dxa"/>
          </w:tblCellMar>
        </w:tblPrEx>
        <w:trPr>
          <w:trHeight w:val="552"/>
        </w:trPr>
        <w:tc>
          <w:tcPr>
            <w:tcW w:w="3007" w:type="dxa"/>
            <w:gridSpan w:val="2"/>
          </w:tcPr>
          <w:p w:rsidR="00456053" w:rsidRPr="008254BF" w:rsidRDefault="00456053" w:rsidP="00456053">
            <w:pPr>
              <w:spacing w:line="240" w:lineRule="auto"/>
              <w:rPr>
                <w:rFonts w:ascii="Arial" w:hAnsi="Arial" w:cs="Arial"/>
                <w:b/>
              </w:rPr>
            </w:pPr>
            <w:r w:rsidRPr="008254BF">
              <w:rPr>
                <w:rFonts w:ascii="Arial" w:hAnsi="Arial" w:cs="Arial"/>
                <w:b/>
              </w:rPr>
              <w:t>Direct Materials</w:t>
            </w:r>
          </w:p>
        </w:tc>
        <w:tc>
          <w:tcPr>
            <w:tcW w:w="3559" w:type="dxa"/>
          </w:tcPr>
          <w:p w:rsidR="00456053" w:rsidRPr="008254BF" w:rsidRDefault="00456053" w:rsidP="00456053">
            <w:pPr>
              <w:spacing w:line="240" w:lineRule="auto"/>
              <w:rPr>
                <w:rFonts w:ascii="Arial" w:hAnsi="Arial" w:cs="Arial"/>
              </w:rPr>
            </w:pPr>
          </w:p>
        </w:tc>
        <w:tc>
          <w:tcPr>
            <w:tcW w:w="3675" w:type="dxa"/>
          </w:tcPr>
          <w:p w:rsidR="00456053" w:rsidRPr="008254BF" w:rsidRDefault="00456053" w:rsidP="00456053">
            <w:pPr>
              <w:spacing w:line="240" w:lineRule="auto"/>
              <w:rPr>
                <w:rFonts w:ascii="Arial" w:hAnsi="Arial" w:cs="Arial"/>
              </w:rPr>
            </w:pPr>
          </w:p>
        </w:tc>
      </w:tr>
      <w:tr w:rsidR="00456053" w:rsidRPr="008254BF" w:rsidTr="008254BF">
        <w:tblPrEx>
          <w:tblCellMar>
            <w:top w:w="0" w:type="dxa"/>
            <w:bottom w:w="0" w:type="dxa"/>
          </w:tblCellMar>
        </w:tblPrEx>
        <w:trPr>
          <w:trHeight w:val="518"/>
        </w:trPr>
        <w:tc>
          <w:tcPr>
            <w:tcW w:w="3007" w:type="dxa"/>
            <w:gridSpan w:val="2"/>
          </w:tcPr>
          <w:p w:rsidR="00456053" w:rsidRPr="008254BF" w:rsidRDefault="00456053" w:rsidP="00456053">
            <w:pPr>
              <w:spacing w:line="240" w:lineRule="auto"/>
              <w:rPr>
                <w:rFonts w:ascii="Arial" w:hAnsi="Arial" w:cs="Arial"/>
              </w:rPr>
            </w:pPr>
            <w:r w:rsidRPr="008254BF">
              <w:rPr>
                <w:rFonts w:ascii="Arial" w:hAnsi="Arial" w:cs="Arial"/>
              </w:rPr>
              <w:lastRenderedPageBreak/>
              <w:t>CDs</w:t>
            </w:r>
          </w:p>
        </w:tc>
        <w:tc>
          <w:tcPr>
            <w:tcW w:w="3559" w:type="dxa"/>
          </w:tcPr>
          <w:p w:rsidR="00456053" w:rsidRPr="008254BF" w:rsidRDefault="00A947DC" w:rsidP="00456053">
            <w:pPr>
              <w:spacing w:line="240" w:lineRule="auto"/>
              <w:rPr>
                <w:rFonts w:ascii="Arial" w:hAnsi="Arial" w:cs="Arial"/>
              </w:rPr>
            </w:pPr>
            <w:r w:rsidRPr="008254BF">
              <w:rPr>
                <w:rFonts w:ascii="Arial" w:hAnsi="Arial" w:cs="Arial"/>
              </w:rPr>
              <w:t>2,200 units</w:t>
            </w:r>
          </w:p>
        </w:tc>
        <w:tc>
          <w:tcPr>
            <w:tcW w:w="3675" w:type="dxa"/>
          </w:tcPr>
          <w:p w:rsidR="00456053" w:rsidRPr="008254BF" w:rsidRDefault="00A947DC" w:rsidP="00456053">
            <w:pPr>
              <w:spacing w:line="240" w:lineRule="auto"/>
              <w:rPr>
                <w:rFonts w:ascii="Arial" w:hAnsi="Arial" w:cs="Arial"/>
              </w:rPr>
            </w:pPr>
            <w:r w:rsidRPr="008254BF">
              <w:rPr>
                <w:rFonts w:ascii="Arial" w:hAnsi="Arial" w:cs="Arial"/>
              </w:rPr>
              <w:t>$44,000</w:t>
            </w:r>
          </w:p>
        </w:tc>
      </w:tr>
      <w:tr w:rsidR="00456053" w:rsidRPr="008254BF" w:rsidTr="008254BF">
        <w:tblPrEx>
          <w:tblCellMar>
            <w:top w:w="0" w:type="dxa"/>
            <w:bottom w:w="0" w:type="dxa"/>
          </w:tblCellMar>
        </w:tblPrEx>
        <w:trPr>
          <w:trHeight w:val="403"/>
        </w:trPr>
        <w:tc>
          <w:tcPr>
            <w:tcW w:w="3007" w:type="dxa"/>
            <w:gridSpan w:val="2"/>
          </w:tcPr>
          <w:p w:rsidR="00456053" w:rsidRPr="008254BF" w:rsidRDefault="00456053" w:rsidP="00456053">
            <w:pPr>
              <w:spacing w:line="240" w:lineRule="auto"/>
              <w:rPr>
                <w:rFonts w:ascii="Arial" w:hAnsi="Arial" w:cs="Arial"/>
              </w:rPr>
            </w:pPr>
            <w:r w:rsidRPr="008254BF">
              <w:rPr>
                <w:rFonts w:ascii="Arial" w:hAnsi="Arial" w:cs="Arial"/>
              </w:rPr>
              <w:t>Package</w:t>
            </w:r>
          </w:p>
        </w:tc>
        <w:tc>
          <w:tcPr>
            <w:tcW w:w="3559" w:type="dxa"/>
          </w:tcPr>
          <w:p w:rsidR="00456053" w:rsidRPr="008254BF" w:rsidRDefault="00A947DC" w:rsidP="00456053">
            <w:pPr>
              <w:spacing w:line="240" w:lineRule="auto"/>
              <w:rPr>
                <w:rFonts w:ascii="Arial" w:hAnsi="Arial" w:cs="Arial"/>
              </w:rPr>
            </w:pPr>
            <w:r w:rsidRPr="008254BF">
              <w:rPr>
                <w:rFonts w:ascii="Arial" w:hAnsi="Arial" w:cs="Arial"/>
              </w:rPr>
              <w:t>2,200 units</w:t>
            </w:r>
          </w:p>
        </w:tc>
        <w:tc>
          <w:tcPr>
            <w:tcW w:w="3675" w:type="dxa"/>
          </w:tcPr>
          <w:p w:rsidR="00456053" w:rsidRPr="008254BF" w:rsidRDefault="00A947DC" w:rsidP="00456053">
            <w:pPr>
              <w:spacing w:line="240" w:lineRule="auto"/>
              <w:rPr>
                <w:rFonts w:ascii="Arial" w:hAnsi="Arial" w:cs="Arial"/>
              </w:rPr>
            </w:pPr>
            <w:r w:rsidRPr="008254BF">
              <w:rPr>
                <w:rFonts w:ascii="Arial" w:hAnsi="Arial" w:cs="Arial"/>
              </w:rPr>
              <w:t>35,000</w:t>
            </w:r>
          </w:p>
        </w:tc>
      </w:tr>
      <w:tr w:rsidR="00456053" w:rsidRPr="008254BF" w:rsidTr="008254BF">
        <w:tblPrEx>
          <w:tblCellMar>
            <w:top w:w="0" w:type="dxa"/>
            <w:bottom w:w="0" w:type="dxa"/>
          </w:tblCellMar>
        </w:tblPrEx>
        <w:trPr>
          <w:trHeight w:val="426"/>
        </w:trPr>
        <w:tc>
          <w:tcPr>
            <w:tcW w:w="3007" w:type="dxa"/>
            <w:gridSpan w:val="2"/>
          </w:tcPr>
          <w:p w:rsidR="00456053" w:rsidRPr="008254BF" w:rsidRDefault="00456053" w:rsidP="00456053">
            <w:pPr>
              <w:spacing w:line="240" w:lineRule="auto"/>
              <w:rPr>
                <w:rFonts w:ascii="Arial" w:hAnsi="Arial" w:cs="Arial"/>
              </w:rPr>
            </w:pPr>
            <w:r w:rsidRPr="008254BF">
              <w:rPr>
                <w:rFonts w:ascii="Arial" w:hAnsi="Arial" w:cs="Arial"/>
              </w:rPr>
              <w:t>Labels</w:t>
            </w:r>
          </w:p>
        </w:tc>
        <w:tc>
          <w:tcPr>
            <w:tcW w:w="3559" w:type="dxa"/>
          </w:tcPr>
          <w:p w:rsidR="00456053" w:rsidRPr="008254BF" w:rsidRDefault="00A947DC" w:rsidP="00456053">
            <w:pPr>
              <w:spacing w:line="240" w:lineRule="auto"/>
              <w:rPr>
                <w:rFonts w:ascii="Arial" w:hAnsi="Arial" w:cs="Arial"/>
              </w:rPr>
            </w:pPr>
            <w:r w:rsidRPr="008254BF">
              <w:rPr>
                <w:rFonts w:ascii="Arial" w:hAnsi="Arial" w:cs="Arial"/>
              </w:rPr>
              <w:t>4,400 units</w:t>
            </w:r>
          </w:p>
        </w:tc>
        <w:tc>
          <w:tcPr>
            <w:tcW w:w="3675" w:type="dxa"/>
          </w:tcPr>
          <w:p w:rsidR="00456053" w:rsidRPr="008254BF" w:rsidRDefault="00A947DC" w:rsidP="00456053">
            <w:pPr>
              <w:spacing w:line="240" w:lineRule="auto"/>
              <w:rPr>
                <w:rFonts w:ascii="Arial" w:hAnsi="Arial" w:cs="Arial"/>
              </w:rPr>
            </w:pPr>
            <w:r w:rsidRPr="008254BF">
              <w:rPr>
                <w:rFonts w:ascii="Arial" w:hAnsi="Arial" w:cs="Arial"/>
              </w:rPr>
              <w:t>6,600</w:t>
            </w:r>
          </w:p>
        </w:tc>
      </w:tr>
      <w:tr w:rsidR="00456053" w:rsidRPr="008254BF" w:rsidTr="008254BF">
        <w:tblPrEx>
          <w:tblCellMar>
            <w:top w:w="0" w:type="dxa"/>
            <w:bottom w:w="0" w:type="dxa"/>
          </w:tblCellMar>
        </w:tblPrEx>
        <w:trPr>
          <w:trHeight w:val="380"/>
        </w:trPr>
        <w:tc>
          <w:tcPr>
            <w:tcW w:w="3007" w:type="dxa"/>
            <w:gridSpan w:val="2"/>
          </w:tcPr>
          <w:p w:rsidR="00456053" w:rsidRPr="008254BF" w:rsidRDefault="00456053" w:rsidP="00456053">
            <w:pPr>
              <w:spacing w:line="240" w:lineRule="auto"/>
              <w:rPr>
                <w:rFonts w:ascii="Arial" w:hAnsi="Arial" w:cs="Arial"/>
                <w:b/>
              </w:rPr>
            </w:pPr>
            <w:r w:rsidRPr="008254BF">
              <w:rPr>
                <w:rFonts w:ascii="Arial" w:hAnsi="Arial" w:cs="Arial"/>
                <w:b/>
              </w:rPr>
              <w:t>Direct Labor</w:t>
            </w:r>
          </w:p>
        </w:tc>
        <w:tc>
          <w:tcPr>
            <w:tcW w:w="3559" w:type="dxa"/>
          </w:tcPr>
          <w:p w:rsidR="00456053" w:rsidRPr="008254BF" w:rsidRDefault="00456053" w:rsidP="00456053">
            <w:pPr>
              <w:spacing w:line="240" w:lineRule="auto"/>
              <w:rPr>
                <w:rFonts w:ascii="Arial" w:hAnsi="Arial" w:cs="Arial"/>
              </w:rPr>
            </w:pPr>
          </w:p>
        </w:tc>
        <w:tc>
          <w:tcPr>
            <w:tcW w:w="3675" w:type="dxa"/>
          </w:tcPr>
          <w:p w:rsidR="00456053" w:rsidRPr="008254BF" w:rsidRDefault="00456053" w:rsidP="00456053">
            <w:pPr>
              <w:spacing w:line="240" w:lineRule="auto"/>
              <w:rPr>
                <w:rFonts w:ascii="Arial" w:hAnsi="Arial" w:cs="Arial"/>
              </w:rPr>
            </w:pPr>
          </w:p>
        </w:tc>
      </w:tr>
      <w:tr w:rsidR="00456053" w:rsidRPr="008254BF" w:rsidTr="008254BF">
        <w:tblPrEx>
          <w:tblCellMar>
            <w:top w:w="0" w:type="dxa"/>
            <w:bottom w:w="0" w:type="dxa"/>
          </w:tblCellMar>
        </w:tblPrEx>
        <w:trPr>
          <w:trHeight w:val="357"/>
        </w:trPr>
        <w:tc>
          <w:tcPr>
            <w:tcW w:w="3007" w:type="dxa"/>
            <w:gridSpan w:val="2"/>
          </w:tcPr>
          <w:p w:rsidR="00456053" w:rsidRPr="008254BF" w:rsidRDefault="00A947DC" w:rsidP="00456053">
            <w:pPr>
              <w:spacing w:line="240" w:lineRule="auto"/>
              <w:rPr>
                <w:rFonts w:ascii="Arial" w:hAnsi="Arial" w:cs="Arial"/>
              </w:rPr>
            </w:pPr>
            <w:r w:rsidRPr="008254BF">
              <w:rPr>
                <w:rFonts w:ascii="Arial" w:hAnsi="Arial" w:cs="Arial"/>
              </w:rPr>
              <w:t>Assembly</w:t>
            </w:r>
          </w:p>
        </w:tc>
        <w:tc>
          <w:tcPr>
            <w:tcW w:w="3559" w:type="dxa"/>
          </w:tcPr>
          <w:p w:rsidR="00456053" w:rsidRPr="008254BF" w:rsidRDefault="00A947DC" w:rsidP="00456053">
            <w:pPr>
              <w:spacing w:line="240" w:lineRule="auto"/>
              <w:rPr>
                <w:rFonts w:ascii="Arial" w:hAnsi="Arial" w:cs="Arial"/>
              </w:rPr>
            </w:pPr>
            <w:r w:rsidRPr="008254BF">
              <w:rPr>
                <w:rFonts w:ascii="Arial" w:hAnsi="Arial" w:cs="Arial"/>
              </w:rPr>
              <w:t>3,900 hours</w:t>
            </w:r>
          </w:p>
        </w:tc>
        <w:tc>
          <w:tcPr>
            <w:tcW w:w="3675" w:type="dxa"/>
          </w:tcPr>
          <w:p w:rsidR="00456053" w:rsidRPr="008254BF" w:rsidRDefault="00A947DC" w:rsidP="00456053">
            <w:pPr>
              <w:spacing w:line="240" w:lineRule="auto"/>
              <w:rPr>
                <w:rFonts w:ascii="Arial" w:hAnsi="Arial" w:cs="Arial"/>
              </w:rPr>
            </w:pPr>
            <w:r w:rsidRPr="008254BF">
              <w:rPr>
                <w:rFonts w:ascii="Arial" w:hAnsi="Arial" w:cs="Arial"/>
              </w:rPr>
              <w:t>31,200</w:t>
            </w:r>
          </w:p>
        </w:tc>
      </w:tr>
      <w:tr w:rsidR="00A947DC" w:rsidRPr="008254BF" w:rsidTr="00A947DC">
        <w:tblPrEx>
          <w:tblCellMar>
            <w:top w:w="0" w:type="dxa"/>
            <w:bottom w:w="0" w:type="dxa"/>
          </w:tblCellMar>
        </w:tblPrEx>
        <w:trPr>
          <w:trHeight w:val="276"/>
        </w:trPr>
        <w:tc>
          <w:tcPr>
            <w:tcW w:w="2972" w:type="dxa"/>
          </w:tcPr>
          <w:p w:rsidR="00A947DC" w:rsidRPr="008254BF" w:rsidRDefault="00A947DC" w:rsidP="00456053">
            <w:pPr>
              <w:spacing w:line="240" w:lineRule="auto"/>
              <w:rPr>
                <w:rFonts w:ascii="Arial" w:hAnsi="Arial" w:cs="Arial"/>
              </w:rPr>
            </w:pPr>
            <w:r w:rsidRPr="008254BF">
              <w:rPr>
                <w:rFonts w:ascii="Arial" w:hAnsi="Arial" w:cs="Arial"/>
              </w:rPr>
              <w:t>CDs</w:t>
            </w:r>
          </w:p>
        </w:tc>
        <w:tc>
          <w:tcPr>
            <w:tcW w:w="3594" w:type="dxa"/>
            <w:gridSpan w:val="2"/>
          </w:tcPr>
          <w:p w:rsidR="00A947DC" w:rsidRPr="008254BF" w:rsidRDefault="00A947DC" w:rsidP="00A947DC">
            <w:pPr>
              <w:spacing w:line="240" w:lineRule="auto"/>
              <w:rPr>
                <w:rFonts w:ascii="Arial" w:hAnsi="Arial" w:cs="Arial"/>
              </w:rPr>
            </w:pPr>
            <w:r w:rsidRPr="008254BF">
              <w:rPr>
                <w:rFonts w:ascii="Arial" w:hAnsi="Arial" w:cs="Arial"/>
              </w:rPr>
              <w:t>2,400 hours</w:t>
            </w:r>
          </w:p>
        </w:tc>
        <w:tc>
          <w:tcPr>
            <w:tcW w:w="3675" w:type="dxa"/>
          </w:tcPr>
          <w:p w:rsidR="00A947DC" w:rsidRPr="008254BF" w:rsidRDefault="00A947DC" w:rsidP="00A947DC">
            <w:pPr>
              <w:spacing w:line="240" w:lineRule="auto"/>
              <w:rPr>
                <w:rFonts w:ascii="Arial" w:hAnsi="Arial" w:cs="Arial"/>
              </w:rPr>
            </w:pPr>
            <w:r w:rsidRPr="008254BF">
              <w:rPr>
                <w:rFonts w:ascii="Arial" w:hAnsi="Arial" w:cs="Arial"/>
              </w:rPr>
              <w:t>23,760</w:t>
            </w:r>
          </w:p>
        </w:tc>
      </w:tr>
      <w:tr w:rsidR="00A947DC" w:rsidRPr="008254BF" w:rsidTr="00A947DC">
        <w:tblPrEx>
          <w:tblCellMar>
            <w:top w:w="0" w:type="dxa"/>
            <w:bottom w:w="0" w:type="dxa"/>
          </w:tblCellMar>
        </w:tblPrEx>
        <w:trPr>
          <w:trHeight w:val="253"/>
        </w:trPr>
        <w:tc>
          <w:tcPr>
            <w:tcW w:w="2972" w:type="dxa"/>
          </w:tcPr>
          <w:p w:rsidR="00A947DC" w:rsidRPr="008254BF" w:rsidRDefault="00A947DC" w:rsidP="00456053">
            <w:pPr>
              <w:spacing w:line="240" w:lineRule="auto"/>
              <w:rPr>
                <w:rFonts w:ascii="Arial" w:hAnsi="Arial" w:cs="Arial"/>
              </w:rPr>
            </w:pPr>
            <w:r w:rsidRPr="008254BF">
              <w:rPr>
                <w:rFonts w:ascii="Arial" w:hAnsi="Arial" w:cs="Arial"/>
              </w:rPr>
              <w:t>Packages/labels</w:t>
            </w:r>
          </w:p>
        </w:tc>
        <w:tc>
          <w:tcPr>
            <w:tcW w:w="3594" w:type="dxa"/>
            <w:gridSpan w:val="2"/>
          </w:tcPr>
          <w:p w:rsidR="00A947DC" w:rsidRPr="008254BF" w:rsidRDefault="00A947DC" w:rsidP="00456053">
            <w:pPr>
              <w:spacing w:line="240" w:lineRule="auto"/>
              <w:rPr>
                <w:rFonts w:ascii="Arial" w:hAnsi="Arial" w:cs="Arial"/>
              </w:rPr>
            </w:pPr>
            <w:r w:rsidRPr="008254BF">
              <w:rPr>
                <w:rFonts w:ascii="Arial" w:hAnsi="Arial" w:cs="Arial"/>
              </w:rPr>
              <w:t>3,500 hours</w:t>
            </w:r>
          </w:p>
        </w:tc>
        <w:tc>
          <w:tcPr>
            <w:tcW w:w="3675" w:type="dxa"/>
          </w:tcPr>
          <w:p w:rsidR="00A947DC" w:rsidRPr="008254BF" w:rsidRDefault="00A947DC" w:rsidP="00456053">
            <w:pPr>
              <w:spacing w:line="240" w:lineRule="auto"/>
              <w:rPr>
                <w:rFonts w:ascii="Arial" w:hAnsi="Arial" w:cs="Arial"/>
              </w:rPr>
            </w:pPr>
            <w:r w:rsidRPr="008254BF">
              <w:rPr>
                <w:rFonts w:ascii="Arial" w:hAnsi="Arial" w:cs="Arial"/>
              </w:rPr>
              <w:t>38,500</w:t>
            </w:r>
          </w:p>
        </w:tc>
      </w:tr>
      <w:tr w:rsidR="00A947DC" w:rsidRPr="008254BF" w:rsidTr="00A947DC">
        <w:tblPrEx>
          <w:tblCellMar>
            <w:top w:w="0" w:type="dxa"/>
            <w:bottom w:w="0" w:type="dxa"/>
          </w:tblCellMar>
        </w:tblPrEx>
        <w:trPr>
          <w:trHeight w:val="157"/>
        </w:trPr>
        <w:tc>
          <w:tcPr>
            <w:tcW w:w="2972" w:type="dxa"/>
          </w:tcPr>
          <w:p w:rsidR="00A947DC" w:rsidRPr="008254BF" w:rsidRDefault="00A947DC" w:rsidP="00456053">
            <w:pPr>
              <w:spacing w:line="240" w:lineRule="auto"/>
              <w:rPr>
                <w:rFonts w:ascii="Arial" w:hAnsi="Arial" w:cs="Arial"/>
                <w:b/>
              </w:rPr>
            </w:pPr>
            <w:r w:rsidRPr="008254BF">
              <w:rPr>
                <w:rFonts w:ascii="Arial" w:hAnsi="Arial" w:cs="Arial"/>
                <w:b/>
              </w:rPr>
              <w:t>Variable Overhead</w:t>
            </w:r>
          </w:p>
        </w:tc>
        <w:tc>
          <w:tcPr>
            <w:tcW w:w="3594" w:type="dxa"/>
            <w:gridSpan w:val="2"/>
          </w:tcPr>
          <w:p w:rsidR="00A947DC" w:rsidRPr="008254BF" w:rsidRDefault="00A947DC" w:rsidP="00456053">
            <w:pPr>
              <w:spacing w:line="240" w:lineRule="auto"/>
              <w:rPr>
                <w:rFonts w:ascii="Arial" w:hAnsi="Arial" w:cs="Arial"/>
              </w:rPr>
            </w:pPr>
            <w:r w:rsidRPr="008254BF">
              <w:rPr>
                <w:rFonts w:ascii="Arial" w:hAnsi="Arial" w:cs="Arial"/>
              </w:rPr>
              <w:t>9,800 hours</w:t>
            </w:r>
          </w:p>
        </w:tc>
        <w:tc>
          <w:tcPr>
            <w:tcW w:w="3675" w:type="dxa"/>
          </w:tcPr>
          <w:p w:rsidR="00A947DC" w:rsidRPr="008254BF" w:rsidRDefault="00A947DC" w:rsidP="00456053">
            <w:pPr>
              <w:spacing w:line="240" w:lineRule="auto"/>
              <w:rPr>
                <w:rFonts w:ascii="Arial" w:hAnsi="Arial" w:cs="Arial"/>
              </w:rPr>
            </w:pPr>
            <w:r w:rsidRPr="008254BF">
              <w:rPr>
                <w:rFonts w:ascii="Arial" w:hAnsi="Arial" w:cs="Arial"/>
              </w:rPr>
              <w:t>18,800</w:t>
            </w:r>
          </w:p>
        </w:tc>
      </w:tr>
      <w:tr w:rsidR="00A947DC" w:rsidRPr="008254BF" w:rsidTr="00A947DC">
        <w:tblPrEx>
          <w:tblCellMar>
            <w:top w:w="0" w:type="dxa"/>
            <w:bottom w:w="0" w:type="dxa"/>
          </w:tblCellMar>
        </w:tblPrEx>
        <w:trPr>
          <w:trHeight w:val="300"/>
        </w:trPr>
        <w:tc>
          <w:tcPr>
            <w:tcW w:w="2972" w:type="dxa"/>
            <w:tcBorders>
              <w:bottom w:val="single" w:sz="4" w:space="0" w:color="auto"/>
            </w:tcBorders>
          </w:tcPr>
          <w:p w:rsidR="00A947DC" w:rsidRPr="008254BF" w:rsidRDefault="00A947DC" w:rsidP="00456053">
            <w:pPr>
              <w:spacing w:line="240" w:lineRule="auto"/>
              <w:rPr>
                <w:rFonts w:ascii="Arial" w:hAnsi="Arial" w:cs="Arial"/>
                <w:b/>
              </w:rPr>
            </w:pPr>
            <w:r w:rsidRPr="008254BF">
              <w:rPr>
                <w:rFonts w:ascii="Arial" w:hAnsi="Arial" w:cs="Arial"/>
                <w:b/>
              </w:rPr>
              <w:t>Total Variable Cost</w:t>
            </w:r>
          </w:p>
        </w:tc>
        <w:tc>
          <w:tcPr>
            <w:tcW w:w="3594" w:type="dxa"/>
            <w:gridSpan w:val="2"/>
            <w:tcBorders>
              <w:bottom w:val="single" w:sz="4" w:space="0" w:color="auto"/>
            </w:tcBorders>
          </w:tcPr>
          <w:p w:rsidR="00A947DC" w:rsidRPr="008254BF" w:rsidRDefault="00A947DC" w:rsidP="00456053">
            <w:pPr>
              <w:spacing w:line="240" w:lineRule="auto"/>
              <w:rPr>
                <w:rFonts w:ascii="Arial" w:hAnsi="Arial" w:cs="Arial"/>
              </w:rPr>
            </w:pPr>
          </w:p>
        </w:tc>
        <w:tc>
          <w:tcPr>
            <w:tcW w:w="3675" w:type="dxa"/>
            <w:tcBorders>
              <w:bottom w:val="single" w:sz="4" w:space="0" w:color="auto"/>
            </w:tcBorders>
          </w:tcPr>
          <w:p w:rsidR="00A947DC" w:rsidRPr="008254BF" w:rsidRDefault="00A947DC" w:rsidP="00456053">
            <w:pPr>
              <w:spacing w:line="240" w:lineRule="auto"/>
              <w:rPr>
                <w:rFonts w:ascii="Arial" w:hAnsi="Arial" w:cs="Arial"/>
              </w:rPr>
            </w:pPr>
            <w:r w:rsidRPr="008254BF">
              <w:rPr>
                <w:rFonts w:ascii="Arial" w:hAnsi="Arial" w:cs="Arial"/>
              </w:rPr>
              <w:t>$197,860</w:t>
            </w:r>
          </w:p>
        </w:tc>
      </w:tr>
    </w:tbl>
    <w:p w:rsidR="00456053" w:rsidRPr="008254BF" w:rsidRDefault="00456053" w:rsidP="00456053">
      <w:pPr>
        <w:spacing w:line="240" w:lineRule="auto"/>
        <w:rPr>
          <w:rFonts w:ascii="Arial" w:hAnsi="Arial" w:cs="Arial"/>
        </w:rPr>
      </w:pPr>
    </w:p>
    <w:p w:rsidR="00A947DC" w:rsidRPr="008254BF" w:rsidRDefault="00A947DC" w:rsidP="00A947DC">
      <w:pPr>
        <w:spacing w:line="240" w:lineRule="auto"/>
        <w:rPr>
          <w:rFonts w:ascii="Arial" w:hAnsi="Arial" w:cs="Arial"/>
        </w:rPr>
      </w:pPr>
      <w:r w:rsidRPr="008254BF">
        <w:rPr>
          <w:rFonts w:ascii="Arial" w:hAnsi="Arial" w:cs="Arial"/>
        </w:rPr>
        <w:t>Miller reported that the PG and GG groups supported the increased production levels but experienced abnormal machine downtime, causing idle labor, which required the use of overtime to keep up with the accelerated demand for parts. The idle time was charged to direct labor. Miller also reported that the production managers of these two groups resorted to parts rejection as opposed to testing and modification procedures as used in the past. Miller</w:t>
      </w:r>
      <w:r w:rsidR="00F21C48" w:rsidRPr="008254BF">
        <w:rPr>
          <w:rFonts w:ascii="Arial" w:hAnsi="Arial" w:cs="Arial"/>
        </w:rPr>
        <w:t xml:space="preserve"> determined that the assembly group met management’s objectives by increasing production while using lower-than-standard hours.</w:t>
      </w:r>
    </w:p>
    <w:p w:rsidR="00F21C48" w:rsidRPr="008254BF" w:rsidRDefault="00F21C48" w:rsidP="00A947DC">
      <w:pPr>
        <w:spacing w:line="240" w:lineRule="auto"/>
        <w:rPr>
          <w:rFonts w:ascii="Arial" w:hAnsi="Arial" w:cs="Arial"/>
        </w:rPr>
      </w:pPr>
    </w:p>
    <w:p w:rsidR="00F21C48" w:rsidRPr="008254BF" w:rsidRDefault="00F21C48" w:rsidP="00A947DC">
      <w:pPr>
        <w:spacing w:line="240" w:lineRule="auto"/>
        <w:rPr>
          <w:rFonts w:ascii="Arial" w:hAnsi="Arial" w:cs="Arial"/>
        </w:rPr>
      </w:pPr>
      <w:r w:rsidRPr="008254BF">
        <w:rPr>
          <w:rFonts w:ascii="Arial" w:hAnsi="Arial" w:cs="Arial"/>
        </w:rPr>
        <w:t>Required</w:t>
      </w:r>
    </w:p>
    <w:p w:rsidR="00F21C48" w:rsidRPr="008254BF" w:rsidRDefault="00F21C48" w:rsidP="00F21C48">
      <w:pPr>
        <w:pStyle w:val="ListParagraph"/>
        <w:numPr>
          <w:ilvl w:val="0"/>
          <w:numId w:val="1"/>
        </w:numPr>
        <w:spacing w:line="240" w:lineRule="auto"/>
        <w:rPr>
          <w:rFonts w:ascii="Arial" w:hAnsi="Arial" w:cs="Arial"/>
        </w:rPr>
      </w:pPr>
      <w:r w:rsidRPr="008254BF">
        <w:rPr>
          <w:rFonts w:ascii="Arial" w:hAnsi="Arial" w:cs="Arial"/>
        </w:rPr>
        <w:t>For May, Ben Fun’s labor rate variance was$5,660 unfavorable, and the labor efficiency variance was $200 favorable. By using these two variances and calculating the following five variance, prepare an explanation of the $5,860 unfavorable variance between budgeted and actual contribution margin during May.</w:t>
      </w:r>
    </w:p>
    <w:p w:rsidR="00F21C48" w:rsidRPr="008254BF" w:rsidRDefault="00F21C48" w:rsidP="00F21C48">
      <w:pPr>
        <w:pStyle w:val="ListParagraph"/>
        <w:numPr>
          <w:ilvl w:val="1"/>
          <w:numId w:val="1"/>
        </w:numPr>
        <w:spacing w:line="240" w:lineRule="auto"/>
        <w:rPr>
          <w:rFonts w:ascii="Arial" w:hAnsi="Arial" w:cs="Arial"/>
        </w:rPr>
      </w:pPr>
      <w:r w:rsidRPr="008254BF">
        <w:rPr>
          <w:rFonts w:ascii="Arial" w:hAnsi="Arial" w:cs="Arial"/>
        </w:rPr>
        <w:t>Material price variance</w:t>
      </w:r>
    </w:p>
    <w:p w:rsidR="00F21C48" w:rsidRPr="008254BF" w:rsidRDefault="00F21C48" w:rsidP="00F21C48">
      <w:pPr>
        <w:pStyle w:val="ListParagraph"/>
        <w:numPr>
          <w:ilvl w:val="1"/>
          <w:numId w:val="1"/>
        </w:numPr>
        <w:spacing w:line="240" w:lineRule="auto"/>
        <w:rPr>
          <w:rFonts w:ascii="Arial" w:hAnsi="Arial" w:cs="Arial"/>
        </w:rPr>
      </w:pPr>
      <w:r w:rsidRPr="008254BF">
        <w:rPr>
          <w:rFonts w:ascii="Arial" w:hAnsi="Arial" w:cs="Arial"/>
        </w:rPr>
        <w:t>Material quantity variance</w:t>
      </w:r>
    </w:p>
    <w:p w:rsidR="00F21C48" w:rsidRPr="008254BF" w:rsidRDefault="00F21C48" w:rsidP="00F21C48">
      <w:pPr>
        <w:pStyle w:val="ListParagraph"/>
        <w:numPr>
          <w:ilvl w:val="1"/>
          <w:numId w:val="1"/>
        </w:numPr>
        <w:spacing w:line="240" w:lineRule="auto"/>
        <w:rPr>
          <w:rFonts w:ascii="Arial" w:hAnsi="Arial" w:cs="Arial"/>
        </w:rPr>
      </w:pPr>
      <w:r w:rsidRPr="008254BF">
        <w:rPr>
          <w:rFonts w:ascii="Arial" w:hAnsi="Arial" w:cs="Arial"/>
        </w:rPr>
        <w:t>Variable overhead efficiency variance</w:t>
      </w:r>
    </w:p>
    <w:p w:rsidR="00F21C48" w:rsidRPr="008254BF" w:rsidRDefault="00F21C48" w:rsidP="00F21C48">
      <w:pPr>
        <w:pStyle w:val="ListParagraph"/>
        <w:numPr>
          <w:ilvl w:val="1"/>
          <w:numId w:val="1"/>
        </w:numPr>
        <w:spacing w:line="240" w:lineRule="auto"/>
        <w:rPr>
          <w:rFonts w:ascii="Arial" w:hAnsi="Arial" w:cs="Arial"/>
        </w:rPr>
      </w:pPr>
      <w:r w:rsidRPr="008254BF">
        <w:rPr>
          <w:rFonts w:ascii="Arial" w:hAnsi="Arial" w:cs="Arial"/>
        </w:rPr>
        <w:t>Variable overhead spending variance</w:t>
      </w:r>
    </w:p>
    <w:p w:rsidR="00F21C48" w:rsidRPr="008254BF" w:rsidRDefault="00F21C48" w:rsidP="00F21C48">
      <w:pPr>
        <w:pStyle w:val="ListParagraph"/>
        <w:numPr>
          <w:ilvl w:val="1"/>
          <w:numId w:val="1"/>
        </w:numPr>
        <w:spacing w:line="240" w:lineRule="auto"/>
        <w:rPr>
          <w:rFonts w:ascii="Arial" w:hAnsi="Arial" w:cs="Arial"/>
        </w:rPr>
      </w:pPr>
      <w:r w:rsidRPr="008254BF">
        <w:rPr>
          <w:rFonts w:ascii="Arial" w:hAnsi="Arial" w:cs="Arial"/>
        </w:rPr>
        <w:t>Sales volume variance</w:t>
      </w:r>
    </w:p>
    <w:p w:rsidR="00F21C48" w:rsidRPr="008254BF" w:rsidRDefault="00F21C48" w:rsidP="00F21C48">
      <w:pPr>
        <w:pStyle w:val="ListParagraph"/>
        <w:numPr>
          <w:ilvl w:val="0"/>
          <w:numId w:val="1"/>
        </w:numPr>
        <w:spacing w:line="240" w:lineRule="auto"/>
        <w:rPr>
          <w:rFonts w:ascii="Arial" w:hAnsi="Arial" w:cs="Arial"/>
        </w:rPr>
      </w:pPr>
      <w:r w:rsidRPr="008254BF">
        <w:rPr>
          <w:rFonts w:ascii="Arial" w:hAnsi="Arial" w:cs="Arial"/>
        </w:rPr>
        <w:t>Tell the story of the variance</w:t>
      </w:r>
    </w:p>
    <w:p w:rsidR="00F21C48" w:rsidRPr="008254BF" w:rsidRDefault="00F21C48" w:rsidP="00F21C48">
      <w:pPr>
        <w:pStyle w:val="ListParagraph"/>
        <w:numPr>
          <w:ilvl w:val="0"/>
          <w:numId w:val="1"/>
        </w:numPr>
        <w:spacing w:line="240" w:lineRule="auto"/>
        <w:rPr>
          <w:rFonts w:ascii="Arial" w:hAnsi="Arial" w:cs="Arial"/>
        </w:rPr>
      </w:pPr>
      <w:r w:rsidRPr="008254BF">
        <w:rPr>
          <w:rFonts w:ascii="Arial" w:hAnsi="Arial" w:cs="Arial"/>
        </w:rPr>
        <w:t>Identify and briefly explain the be</w:t>
      </w:r>
      <w:r w:rsidR="008254BF" w:rsidRPr="008254BF">
        <w:rPr>
          <w:rFonts w:ascii="Arial" w:hAnsi="Arial" w:cs="Arial"/>
        </w:rPr>
        <w:t>havioral factors that may promote friction among the production managers and between the production managers and the maintenance manager.</w:t>
      </w:r>
    </w:p>
    <w:p w:rsidR="008254BF" w:rsidRPr="008254BF" w:rsidRDefault="008254BF" w:rsidP="00F21C48">
      <w:pPr>
        <w:pStyle w:val="ListParagraph"/>
        <w:numPr>
          <w:ilvl w:val="0"/>
          <w:numId w:val="1"/>
        </w:numPr>
        <w:spacing w:line="240" w:lineRule="auto"/>
        <w:rPr>
          <w:rFonts w:ascii="Arial" w:hAnsi="Arial" w:cs="Arial"/>
        </w:rPr>
      </w:pPr>
      <w:r w:rsidRPr="008254BF">
        <w:rPr>
          <w:rFonts w:ascii="Arial" w:hAnsi="Arial" w:cs="Arial"/>
        </w:rPr>
        <w:t>Evaluate Al Miller’s analysis of the unfavorable contribution results in terms of its completeness and its effect on the behavior of the production groups. What decisions need to be made about increasing the contribution margin?</w:t>
      </w:r>
    </w:p>
    <w:sectPr w:rsidR="008254BF" w:rsidRPr="008254BF" w:rsidSect="00381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5D70"/>
    <w:multiLevelType w:val="hybridMultilevel"/>
    <w:tmpl w:val="AD32E2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9A9"/>
    <w:rsid w:val="000A7EA1"/>
    <w:rsid w:val="000B29A9"/>
    <w:rsid w:val="00206A60"/>
    <w:rsid w:val="00381971"/>
    <w:rsid w:val="00456053"/>
    <w:rsid w:val="008254BF"/>
    <w:rsid w:val="00A947DC"/>
    <w:rsid w:val="00AC0002"/>
    <w:rsid w:val="00AC543C"/>
    <w:rsid w:val="00D21044"/>
    <w:rsid w:val="00F21C48"/>
    <w:rsid w:val="00FF0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2010-09-16T23:35:00Z</dcterms:created>
  <dcterms:modified xsi:type="dcterms:W3CDTF">2010-09-17T03:11:00Z</dcterms:modified>
</cp:coreProperties>
</file>