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B8" w:rsidRDefault="00F871B8" w:rsidP="00F871B8">
      <w:pPr>
        <w:spacing w:after="0" w:line="240" w:lineRule="auto"/>
      </w:pPr>
      <w:r>
        <w:rPr>
          <w:rStyle w:val="Strong"/>
        </w:rPr>
        <w:t>1.</w:t>
      </w:r>
      <w:r>
        <w:t> </w:t>
      </w:r>
      <w:r>
        <w:rPr>
          <w:color w:val="000000"/>
          <w:sz w:val="20"/>
          <w:szCs w:val="20"/>
        </w:rPr>
        <w:t xml:space="preserve">Wages paid to a timekeeper in a factory </w:t>
      </w:r>
      <w:proofErr w:type="spellStart"/>
      <w:r>
        <w:rPr>
          <w:color w:val="000000"/>
          <w:sz w:val="20"/>
          <w:szCs w:val="20"/>
        </w:rPr>
        <w:t>are a</w:t>
      </w:r>
      <w:proofErr w:type="spellEnd"/>
      <w:r>
        <w:rPr>
          <w:color w:val="000000"/>
          <w:sz w:val="20"/>
          <w:szCs w:val="20"/>
        </w:rPr>
        <w:t>:</w:t>
      </w:r>
      <w:r>
        <w:t xml:space="preserve"> </w:t>
      </w:r>
      <w:r>
        <w:br/>
        <w:t xml:space="preserve">      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0.25pt;height:18pt" o:ole="">
            <v:imagedata r:id="rId4" o:title=""/>
          </v:shape>
          <w:control r:id="rId5" w:name="DefaultOcxName" w:shapeid="_x0000_i1116"/>
        </w:object>
      </w:r>
      <w:r>
        <w:rPr>
          <w:sz w:val="20"/>
          <w:szCs w:val="20"/>
        </w:rPr>
        <w:t>Prime Cost YES.....Conversion Cost NO</w:t>
      </w:r>
      <w:r>
        <w:t xml:space="preserve"> </w:t>
      </w:r>
      <w:r>
        <w:br/>
        <w:t xml:space="preserve">       </w:t>
      </w:r>
      <w:r>
        <w:object w:dxaOrig="225" w:dyaOrig="225">
          <v:shape id="_x0000_i1115" type="#_x0000_t75" style="width:20.25pt;height:18pt" o:ole="">
            <v:imagedata r:id="rId4" o:title=""/>
          </v:shape>
          <w:control r:id="rId6" w:name="DefaultOcxName1" w:shapeid="_x0000_i1115"/>
        </w:object>
      </w:r>
      <w:r>
        <w:rPr>
          <w:sz w:val="20"/>
          <w:szCs w:val="20"/>
        </w:rPr>
        <w:t>Prime Cost YES.....Conversion Cost YES</w:t>
      </w:r>
      <w:r>
        <w:t xml:space="preserve"> </w:t>
      </w:r>
      <w:r>
        <w:br/>
        <w:t xml:space="preserve">       </w:t>
      </w:r>
      <w:r>
        <w:object w:dxaOrig="225" w:dyaOrig="225">
          <v:shape id="_x0000_i1114" type="#_x0000_t75" style="width:20.25pt;height:18pt" o:ole="">
            <v:imagedata r:id="rId4" o:title=""/>
          </v:shape>
          <w:control r:id="rId7" w:name="DefaultOcxName2" w:shapeid="_x0000_i1114"/>
        </w:object>
      </w:r>
      <w:r>
        <w:rPr>
          <w:sz w:val="20"/>
          <w:szCs w:val="20"/>
        </w:rPr>
        <w:t>Prime Cost NO....Conversion Cost NO</w:t>
      </w:r>
      <w:r>
        <w:t xml:space="preserve"> </w:t>
      </w:r>
      <w:r>
        <w:br/>
        <w:t xml:space="preserve">       </w:t>
      </w:r>
      <w:r>
        <w:object w:dxaOrig="225" w:dyaOrig="225">
          <v:shape id="_x0000_i1113" type="#_x0000_t75" style="width:20.25pt;height:18pt" o:ole="">
            <v:imagedata r:id="rId4" o:title=""/>
          </v:shape>
          <w:control r:id="rId8" w:name="DefaultOcxName3" w:shapeid="_x0000_i1113"/>
        </w:object>
      </w:r>
      <w:r>
        <w:rPr>
          <w:sz w:val="20"/>
          <w:szCs w:val="20"/>
        </w:rPr>
        <w:t>Prime Cost NO.....Conversion Cost YES</w:t>
      </w:r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2.</w:t>
      </w:r>
      <w: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Fixed costs expressed on a per unit basis: </w:t>
      </w:r>
      <w:r>
        <w:br/>
        <w:t xml:space="preserve">       </w:t>
      </w:r>
      <w:r>
        <w:object w:dxaOrig="225" w:dyaOrig="225">
          <v:shape id="_x0000_i1112" type="#_x0000_t75" style="width:20.25pt;height:18pt" o:ole="">
            <v:imagedata r:id="rId4" o:title=""/>
          </v:shape>
          <w:control r:id="rId9" w:name="DefaultOcxName4" w:shapeid="_x0000_i1112"/>
        </w:object>
      </w:r>
      <w:r>
        <w:rPr>
          <w:sz w:val="20"/>
          <w:szCs w:val="20"/>
        </w:rPr>
        <w:t xml:space="preserve">will increase with increases in activity. </w:t>
      </w:r>
      <w:r>
        <w:br/>
        <w:t xml:space="preserve">       </w:t>
      </w:r>
      <w:r>
        <w:object w:dxaOrig="225" w:dyaOrig="225">
          <v:shape id="_x0000_i1111" type="#_x0000_t75" style="width:20.25pt;height:18pt" o:ole="">
            <v:imagedata r:id="rId4" o:title=""/>
          </v:shape>
          <w:control r:id="rId10" w:name="DefaultOcxName5" w:shapeid="_x0000_i1111"/>
        </w:object>
      </w: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decrease with increases in activity. </w:t>
      </w:r>
      <w:r>
        <w:br/>
        <w:t xml:space="preserve">       </w:t>
      </w:r>
      <w:r>
        <w:object w:dxaOrig="225" w:dyaOrig="225">
          <v:shape id="_x0000_i1110" type="#_x0000_t75" style="width:20.25pt;height:18pt" o:ole="">
            <v:imagedata r:id="rId4" o:title=""/>
          </v:shape>
          <w:control r:id="rId11" w:name="DefaultOcxName6" w:shapeid="_x0000_i1110"/>
        </w:objec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not affected by activity. </w:t>
      </w:r>
      <w:r>
        <w:br/>
        <w:t xml:space="preserve">       </w:t>
      </w:r>
      <w:r>
        <w:object w:dxaOrig="225" w:dyaOrig="225">
          <v:shape id="_x0000_i1109" type="#_x0000_t75" style="width:20.25pt;height:18pt" o:ole="">
            <v:imagedata r:id="rId4" o:title=""/>
          </v:shape>
          <w:control r:id="rId12" w:name="DefaultOcxName7" w:shapeid="_x0000_i1109"/>
        </w:object>
      </w:r>
      <w:proofErr w:type="gramStart"/>
      <w:r>
        <w:rPr>
          <w:sz w:val="20"/>
          <w:szCs w:val="20"/>
        </w:rPr>
        <w:t>should</w:t>
      </w:r>
      <w:proofErr w:type="gramEnd"/>
      <w:r>
        <w:rPr>
          <w:sz w:val="20"/>
          <w:szCs w:val="20"/>
        </w:rPr>
        <w:t xml:space="preserve"> be ignored in making decisions since they cannot change. </w:t>
      </w:r>
      <w:r>
        <w:br/>
      </w:r>
      <w:r>
        <w:br/>
      </w:r>
      <w:r>
        <w:br/>
      </w:r>
      <w:r>
        <w:rPr>
          <w:rStyle w:val="Strong"/>
        </w:rPr>
        <w:t>3.</w:t>
      </w:r>
      <w:r>
        <w:t> </w:t>
      </w:r>
      <w:proofErr w:type="spellStart"/>
      <w:r>
        <w:rPr>
          <w:sz w:val="20"/>
          <w:szCs w:val="20"/>
        </w:rPr>
        <w:t>Inventoriable</w:t>
      </w:r>
      <w:proofErr w:type="spellEnd"/>
      <w:r>
        <w:rPr>
          <w:sz w:val="20"/>
          <w:szCs w:val="20"/>
        </w:rPr>
        <w:t xml:space="preserve"> costs are also known as:</w:t>
      </w:r>
      <w:r>
        <w:t xml:space="preserve"> </w:t>
      </w:r>
      <w:r>
        <w:br/>
        <w:t xml:space="preserve">       </w:t>
      </w:r>
      <w:r>
        <w:object w:dxaOrig="225" w:dyaOrig="225">
          <v:shape id="_x0000_i1108" type="#_x0000_t75" style="width:20.25pt;height:18pt" o:ole="">
            <v:imagedata r:id="rId4" o:title=""/>
          </v:shape>
          <w:control r:id="rId13" w:name="DefaultOcxName8" w:shapeid="_x0000_i1108"/>
        </w:object>
      </w:r>
      <w:r>
        <w:rPr>
          <w:sz w:val="20"/>
          <w:szCs w:val="20"/>
        </w:rPr>
        <w:t>variable costs</w:t>
      </w:r>
      <w:r>
        <w:t xml:space="preserve"> </w:t>
      </w:r>
      <w:r>
        <w:br/>
        <w:t xml:space="preserve">       </w:t>
      </w:r>
      <w:r>
        <w:object w:dxaOrig="225" w:dyaOrig="225">
          <v:shape id="_x0000_i1107" type="#_x0000_t75" style="width:20.25pt;height:18pt" o:ole="">
            <v:imagedata r:id="rId4" o:title=""/>
          </v:shape>
          <w:control r:id="rId14" w:name="DefaultOcxName9" w:shapeid="_x0000_i1107"/>
        </w:object>
      </w:r>
      <w:r>
        <w:rPr>
          <w:sz w:val="20"/>
          <w:szCs w:val="20"/>
        </w:rPr>
        <w:t>conversion costs</w:t>
      </w:r>
      <w:r>
        <w:t xml:space="preserve"> </w:t>
      </w:r>
      <w:r>
        <w:br/>
        <w:t xml:space="preserve">       </w:t>
      </w:r>
      <w:r>
        <w:object w:dxaOrig="225" w:dyaOrig="225">
          <v:shape id="_x0000_i1106" type="#_x0000_t75" style="width:20.25pt;height:18pt" o:ole="">
            <v:imagedata r:id="rId4" o:title=""/>
          </v:shape>
          <w:control r:id="rId15" w:name="DefaultOcxName10" w:shapeid="_x0000_i1106"/>
        </w:object>
      </w:r>
      <w:r>
        <w:rPr>
          <w:sz w:val="20"/>
          <w:szCs w:val="20"/>
        </w:rPr>
        <w:t>product costs</w:t>
      </w:r>
      <w:r>
        <w:t xml:space="preserve"> </w:t>
      </w:r>
      <w:r>
        <w:br/>
        <w:t xml:space="preserve">       </w:t>
      </w:r>
      <w:r>
        <w:object w:dxaOrig="225" w:dyaOrig="225">
          <v:shape id="_x0000_i1105" type="#_x0000_t75" style="width:20.25pt;height:18pt" o:ole="">
            <v:imagedata r:id="rId4" o:title=""/>
          </v:shape>
          <w:control r:id="rId16" w:name="DefaultOcxName11" w:shapeid="_x0000_i1105"/>
        </w:object>
      </w:r>
      <w:r>
        <w:rPr>
          <w:sz w:val="20"/>
          <w:szCs w:val="20"/>
        </w:rPr>
        <w:t>fixed costs</w:t>
      </w:r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4.</w:t>
      </w:r>
      <w:r>
        <w:t> </w:t>
      </w:r>
      <w:r>
        <w:rPr>
          <w:sz w:val="20"/>
          <w:szCs w:val="20"/>
        </w:rPr>
        <w:t>When the activity level is expected to decline within the relevant range, what effects would be anticipated with respect to each of the following?</w:t>
      </w:r>
      <w:r>
        <w:t xml:space="preserve"> </w:t>
      </w:r>
      <w:r>
        <w:br/>
        <w:t xml:space="preserve">       </w:t>
      </w:r>
      <w:r>
        <w:object w:dxaOrig="225" w:dyaOrig="225">
          <v:shape id="_x0000_i1104" type="#_x0000_t75" style="width:20.25pt;height:18pt" o:ole="">
            <v:imagedata r:id="rId4" o:title=""/>
          </v:shape>
          <w:control r:id="rId17" w:name="DefaultOcxName12" w:shapeid="_x0000_i1104"/>
        </w:object>
      </w:r>
      <w:r>
        <w:rPr>
          <w:sz w:val="20"/>
          <w:szCs w:val="20"/>
        </w:rPr>
        <w:t>Fixed Costs per Unit Increase and Variable Costs per Unit Increase</w:t>
      </w:r>
      <w:r>
        <w:t xml:space="preserve"> </w:t>
      </w:r>
      <w:r>
        <w:br/>
        <w:t xml:space="preserve">       </w:t>
      </w:r>
      <w:r>
        <w:object w:dxaOrig="225" w:dyaOrig="225">
          <v:shape id="_x0000_i1103" type="#_x0000_t75" style="width:20.25pt;height:18pt" o:ole="">
            <v:imagedata r:id="rId4" o:title=""/>
          </v:shape>
          <w:control r:id="rId18" w:name="DefaultOcxName13" w:shapeid="_x0000_i1103"/>
        </w:object>
      </w:r>
      <w:r>
        <w:rPr>
          <w:sz w:val="20"/>
          <w:szCs w:val="20"/>
        </w:rPr>
        <w:t>Fixed Costs per Unit Increase and Variable Costs per Unit do not change</w:t>
      </w:r>
      <w:r>
        <w:t xml:space="preserve"> </w:t>
      </w:r>
      <w:r>
        <w:br/>
        <w:t xml:space="preserve">       </w:t>
      </w:r>
      <w:r>
        <w:object w:dxaOrig="225" w:dyaOrig="225">
          <v:shape id="_x0000_i1102" type="#_x0000_t75" style="width:20.25pt;height:18pt" o:ole="">
            <v:imagedata r:id="rId4" o:title=""/>
          </v:shape>
          <w:control r:id="rId19" w:name="DefaultOcxName14" w:shapeid="_x0000_i1102"/>
        </w:object>
      </w:r>
      <w:r>
        <w:rPr>
          <w:sz w:val="20"/>
          <w:szCs w:val="20"/>
        </w:rPr>
        <w:t>Fixed Costs per Unit do not change and Variable Costs per Unit do not change</w:t>
      </w:r>
      <w:r>
        <w:t xml:space="preserve"> </w:t>
      </w:r>
      <w:r>
        <w:br/>
        <w:t xml:space="preserve">       </w:t>
      </w:r>
      <w:r>
        <w:object w:dxaOrig="225" w:dyaOrig="225">
          <v:shape id="_x0000_i1101" type="#_x0000_t75" style="width:20.25pt;height:18pt" o:ole="">
            <v:imagedata r:id="rId4" o:title=""/>
          </v:shape>
          <w:control r:id="rId20" w:name="DefaultOcxName15" w:shapeid="_x0000_i1101"/>
        </w:object>
      </w:r>
      <w:r>
        <w:rPr>
          <w:sz w:val="20"/>
          <w:szCs w:val="20"/>
        </w:rPr>
        <w:t>Fixed Costs per Unit do not change and Variable Costs per Unit Increase</w:t>
      </w:r>
      <w:r>
        <w:t xml:space="preserve"> </w:t>
      </w:r>
      <w:r>
        <w:br/>
      </w:r>
      <w:r>
        <w:br/>
      </w:r>
      <w:r>
        <w:br/>
      </w:r>
      <w:proofErr w:type="gramStart"/>
      <w:r>
        <w:rPr>
          <w:rStyle w:val="Strong"/>
        </w:rPr>
        <w:t>5.</w:t>
      </w:r>
      <w:proofErr w:type="gramEnd"/>
      <w:r>
        <w:t> </w:t>
      </w:r>
      <w:proofErr w:type="spellStart"/>
      <w:r>
        <w:rPr>
          <w:sz w:val="20"/>
          <w:szCs w:val="20"/>
        </w:rPr>
        <w:t>Emco</w:t>
      </w:r>
      <w:proofErr w:type="spellEnd"/>
      <w:r>
        <w:rPr>
          <w:sz w:val="20"/>
          <w:szCs w:val="20"/>
        </w:rPr>
        <w:t xml:space="preserve"> Company uses direct labor cost as a basis for computing its predetermined overhead rate. In computing the predetermined overhead rate for last year, the company misclassified a portion of direct labor cost as indirect labor. The effect of this misclassification will be to:</w:t>
      </w:r>
      <w:r>
        <w:t xml:space="preserve"> </w:t>
      </w:r>
      <w:r>
        <w:br/>
        <w:t xml:space="preserve">       </w:t>
      </w:r>
      <w:r>
        <w:object w:dxaOrig="225" w:dyaOrig="225">
          <v:shape id="_x0000_i1100" type="#_x0000_t75" style="width:20.25pt;height:18pt" o:ole="">
            <v:imagedata r:id="rId4" o:title=""/>
          </v:shape>
          <w:control r:id="rId21" w:name="DefaultOcxName16" w:shapeid="_x0000_i1100"/>
        </w:object>
      </w:r>
      <w:r>
        <w:rPr>
          <w:sz w:val="20"/>
          <w:szCs w:val="20"/>
        </w:rPr>
        <w:t>understate the predetermined overhead rate</w:t>
      </w:r>
      <w:r>
        <w:t xml:space="preserve"> </w:t>
      </w:r>
      <w:r>
        <w:br/>
        <w:t xml:space="preserve">       </w:t>
      </w:r>
      <w:r>
        <w:object w:dxaOrig="225" w:dyaOrig="225">
          <v:shape id="_x0000_i1099" type="#_x0000_t75" style="width:20.25pt;height:18pt" o:ole="">
            <v:imagedata r:id="rId4" o:title=""/>
          </v:shape>
          <w:control r:id="rId22" w:name="DefaultOcxName17" w:shapeid="_x0000_i1099"/>
        </w:object>
      </w:r>
      <w:r>
        <w:rPr>
          <w:sz w:val="20"/>
          <w:szCs w:val="20"/>
        </w:rPr>
        <w:t>overstate the predetermined overhead rate</w:t>
      </w:r>
      <w:r>
        <w:t xml:space="preserve"> </w:t>
      </w:r>
      <w:r>
        <w:br/>
        <w:t xml:space="preserve">       </w:t>
      </w:r>
      <w:r>
        <w:object w:dxaOrig="225" w:dyaOrig="225">
          <v:shape id="_x0000_i1098" type="#_x0000_t75" style="width:20.25pt;height:18pt" o:ole="">
            <v:imagedata r:id="rId4" o:title=""/>
          </v:shape>
          <w:control r:id="rId23" w:name="DefaultOcxName18" w:shapeid="_x0000_i1098"/>
        </w:object>
      </w:r>
      <w:r>
        <w:rPr>
          <w:sz w:val="20"/>
          <w:szCs w:val="20"/>
        </w:rPr>
        <w:t xml:space="preserve">have </w:t>
      </w:r>
      <w:proofErr w:type="gramStart"/>
      <w:r>
        <w:rPr>
          <w:sz w:val="20"/>
          <w:szCs w:val="20"/>
        </w:rPr>
        <w:t>no effect on the predetermined overhead rate</w:t>
      </w:r>
      <w:r>
        <w:t xml:space="preserve"> </w:t>
      </w:r>
      <w:r>
        <w:br/>
        <w:t xml:space="preserve">       </w:t>
      </w:r>
      <w:r>
        <w:object w:dxaOrig="225" w:dyaOrig="225">
          <v:shape id="_x0000_i1097" type="#_x0000_t75" style="width:20.25pt;height:18pt" o:ole="">
            <v:imagedata r:id="rId4" o:title=""/>
          </v:shape>
          <w:control r:id="rId24" w:name="DefaultOcxName19" w:shapeid="_x0000_i1097"/>
        </w:object>
      </w:r>
      <w:r>
        <w:rPr>
          <w:sz w:val="20"/>
          <w:szCs w:val="20"/>
        </w:rPr>
        <w:t>cannot be determined from the information given</w:t>
      </w:r>
      <w:r>
        <w:t xml:space="preserve"> </w:t>
      </w:r>
      <w:r>
        <w:br/>
      </w:r>
      <w:r>
        <w:br/>
      </w:r>
      <w:r>
        <w:lastRenderedPageBreak/>
        <w:br/>
      </w:r>
      <w:r>
        <w:rPr>
          <w:rStyle w:val="Strong"/>
        </w:rPr>
        <w:t>6</w:t>
      </w:r>
      <w:proofErr w:type="gramEnd"/>
      <w:r>
        <w:rPr>
          <w:rStyle w:val="Strong"/>
        </w:rPr>
        <w:t>.</w:t>
      </w:r>
      <w:r>
        <w:t> </w:t>
      </w:r>
      <w:r>
        <w:rPr>
          <w:rFonts w:ascii="Arial" w:hAnsi="Arial" w:cs="Arial"/>
          <w:sz w:val="20"/>
          <w:szCs w:val="20"/>
        </w:rPr>
        <w:t>A process cost system is employed in those situations in which:</w:t>
      </w:r>
      <w:r>
        <w:rPr>
          <w:sz w:val="20"/>
          <w:szCs w:val="20"/>
        </w:rPr>
        <w:t xml:space="preserve"> </w:t>
      </w:r>
      <w:r>
        <w:br/>
        <w:t xml:space="preserve">       </w:t>
      </w:r>
      <w:r>
        <w:object w:dxaOrig="225" w:dyaOrig="225">
          <v:shape id="_x0000_i1096" type="#_x0000_t75" style="width:20.25pt;height:18pt" o:ole="">
            <v:imagedata r:id="rId4" o:title=""/>
          </v:shape>
          <w:control r:id="rId25" w:name="DefaultOcxName20" w:shapeid="_x0000_i1096"/>
        </w:object>
      </w:r>
      <w:r>
        <w:rPr>
          <w:sz w:val="20"/>
          <w:szCs w:val="20"/>
        </w:rPr>
        <w:t>many different products, jobs, or batches of production are being produced each period</w:t>
      </w:r>
      <w:r>
        <w:t xml:space="preserve"> </w:t>
      </w:r>
      <w:r>
        <w:br/>
        <w:t xml:space="preserve">       </w:t>
      </w:r>
      <w:r>
        <w:object w:dxaOrig="225" w:dyaOrig="225">
          <v:shape id="_x0000_i1095" type="#_x0000_t75" style="width:20.25pt;height:18pt" o:ole="">
            <v:imagedata r:id="rId4" o:title=""/>
          </v:shape>
          <w:control r:id="rId26" w:name="DefaultOcxName21" w:shapeid="_x0000_i1095"/>
        </w:object>
      </w:r>
      <w:r>
        <w:rPr>
          <w:sz w:val="20"/>
          <w:szCs w:val="20"/>
        </w:rPr>
        <w:t>where manufacturing involves a single, homogeneous product that flows evenly through the production process on a continuous basis</w:t>
      </w:r>
      <w:r>
        <w:t xml:space="preserve"> </w:t>
      </w:r>
      <w:r>
        <w:br/>
        <w:t xml:space="preserve">       </w:t>
      </w:r>
      <w:r>
        <w:object w:dxaOrig="225" w:dyaOrig="225">
          <v:shape id="_x0000_i1094" type="#_x0000_t75" style="width:20.25pt;height:18pt" o:ole="">
            <v:imagedata r:id="rId4" o:title=""/>
          </v:shape>
          <w:control r:id="rId27" w:name="DefaultOcxName22" w:shapeid="_x0000_i1094"/>
        </w:object>
      </w:r>
      <w:r>
        <w:rPr>
          <w:sz w:val="20"/>
          <w:szCs w:val="20"/>
        </w:rPr>
        <w:t>a service is performed such as in a law firm or an accounting firm</w:t>
      </w:r>
      <w:r>
        <w:t xml:space="preserve"> </w:t>
      </w:r>
      <w:r>
        <w:br/>
        <w:t xml:space="preserve">       </w:t>
      </w:r>
      <w:r>
        <w:object w:dxaOrig="225" w:dyaOrig="225">
          <v:shape id="_x0000_i1093" type="#_x0000_t75" style="width:20.25pt;height:18pt" o:ole="">
            <v:imagedata r:id="rId4" o:title=""/>
          </v:shape>
          <w:control r:id="rId28" w:name="DefaultOcxName23" w:shapeid="_x0000_i1093"/>
        </w:object>
      </w:r>
      <w:r>
        <w:rPr>
          <w:sz w:val="20"/>
          <w:szCs w:val="20"/>
        </w:rPr>
        <w:t>full or absorption cost approach is not employed</w:t>
      </w:r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7.</w:t>
      </w:r>
      <w:r>
        <w:t> </w:t>
      </w:r>
      <w:r>
        <w:rPr>
          <w:rFonts w:ascii="Arial" w:hAnsi="Arial" w:cs="Arial"/>
          <w:sz w:val="20"/>
          <w:szCs w:val="20"/>
        </w:rPr>
        <w:t>Equivalent units for a process costing system using the FIFO method would be equal to:</w:t>
      </w:r>
      <w:r>
        <w:rPr>
          <w:sz w:val="20"/>
          <w:szCs w:val="20"/>
        </w:rPr>
        <w:t xml:space="preserve"> </w:t>
      </w:r>
      <w:r>
        <w:br/>
        <w:t xml:space="preserve">       </w:t>
      </w:r>
      <w:r>
        <w:object w:dxaOrig="225" w:dyaOrig="225">
          <v:shape id="_x0000_i1092" type="#_x0000_t75" style="width:20.25pt;height:18pt" o:ole="">
            <v:imagedata r:id="rId4" o:title=""/>
          </v:shape>
          <w:control r:id="rId29" w:name="DefaultOcxName24" w:shapeid="_x0000_i1092"/>
        </w:object>
      </w:r>
      <w:r>
        <w:rPr>
          <w:sz w:val="20"/>
          <w:szCs w:val="20"/>
        </w:rPr>
        <w:t>units completed during the period, plus equivalent units in the ending work in process inventory</w:t>
      </w:r>
      <w:r>
        <w:t xml:space="preserve"> </w:t>
      </w:r>
      <w:r>
        <w:br/>
        <w:t xml:space="preserve">       </w:t>
      </w:r>
      <w:r>
        <w:object w:dxaOrig="225" w:dyaOrig="225">
          <v:shape id="_x0000_i1091" type="#_x0000_t75" style="width:20.25pt;height:18pt" o:ole="">
            <v:imagedata r:id="rId4" o:title=""/>
          </v:shape>
          <w:control r:id="rId30" w:name="DefaultOcxName25" w:shapeid="_x0000_i1091"/>
        </w:object>
      </w:r>
      <w:r>
        <w:rPr>
          <w:sz w:val="20"/>
          <w:szCs w:val="20"/>
        </w:rPr>
        <w:t>units started and completed during the period, plus equivalent units in the ending work in process inventory</w:t>
      </w:r>
      <w:r>
        <w:t xml:space="preserve"> </w:t>
      </w:r>
      <w:r>
        <w:br/>
        <w:t xml:space="preserve">       </w:t>
      </w:r>
      <w:r>
        <w:object w:dxaOrig="225" w:dyaOrig="225">
          <v:shape id="_x0000_i1090" type="#_x0000_t75" style="width:20.25pt;height:18pt" o:ole="">
            <v:imagedata r:id="rId4" o:title=""/>
          </v:shape>
          <w:control r:id="rId31" w:name="DefaultOcxName26" w:shapeid="_x0000_i1090"/>
        </w:object>
      </w:r>
      <w:r>
        <w:rPr>
          <w:sz w:val="20"/>
          <w:szCs w:val="20"/>
        </w:rPr>
        <w:t>units completed during the period and transferred out</w:t>
      </w:r>
      <w:r>
        <w:t xml:space="preserve"> </w:t>
      </w:r>
      <w:r>
        <w:br/>
        <w:t xml:space="preserve">       </w:t>
      </w:r>
      <w:r>
        <w:object w:dxaOrig="225" w:dyaOrig="225">
          <v:shape id="_x0000_i1089" type="#_x0000_t75" style="width:20.25pt;height:18pt" o:ole="">
            <v:imagedata r:id="rId4" o:title=""/>
          </v:shape>
          <w:control r:id="rId32" w:name="DefaultOcxName27" w:shapeid="_x0000_i1089"/>
        </w:object>
      </w:r>
      <w:r>
        <w:rPr>
          <w:sz w:val="20"/>
          <w:szCs w:val="20"/>
        </w:rPr>
        <w:t>units started and completed during the period, plus equivalent units in the ending work in process inventory, plus work needed to complete units in the beginning work in process inventory</w:t>
      </w:r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8.</w:t>
      </w:r>
      <w:r>
        <w:t> </w:t>
      </w:r>
      <w:r>
        <w:rPr>
          <w:rFonts w:ascii="Arial" w:hAnsi="Arial" w:cs="Arial"/>
          <w:color w:val="000000"/>
          <w:sz w:val="20"/>
          <w:szCs w:val="20"/>
        </w:rPr>
        <w:t>The contribution margin ratio always decreases when the:</w:t>
      </w:r>
      <w:r>
        <w:rPr>
          <w:color w:val="000000"/>
          <w:sz w:val="20"/>
          <w:szCs w:val="20"/>
        </w:rPr>
        <w:t xml:space="preserve"> </w:t>
      </w:r>
      <w:r>
        <w:br/>
        <w:t xml:space="preserve">       </w:t>
      </w:r>
      <w:r>
        <w:object w:dxaOrig="225" w:dyaOrig="225">
          <v:shape id="_x0000_i1088" type="#_x0000_t75" style="width:20.25pt;height:18pt" o:ole="">
            <v:imagedata r:id="rId4" o:title=""/>
          </v:shape>
          <w:control r:id="rId33" w:name="DefaultOcxName28" w:shapeid="_x0000_i1088"/>
        </w:object>
      </w:r>
      <w:r>
        <w:rPr>
          <w:rFonts w:ascii="Arial" w:hAnsi="Arial" w:cs="Arial"/>
          <w:color w:val="000000"/>
          <w:sz w:val="20"/>
          <w:szCs w:val="20"/>
        </w:rPr>
        <w:t>break-even point increases</w:t>
      </w:r>
      <w:r>
        <w:t xml:space="preserve"> </w:t>
      </w:r>
      <w:r>
        <w:br/>
        <w:t xml:space="preserve">       </w:t>
      </w:r>
      <w:r>
        <w:object w:dxaOrig="225" w:dyaOrig="225">
          <v:shape id="_x0000_i1087" type="#_x0000_t75" style="width:20.25pt;height:18pt" o:ole="">
            <v:imagedata r:id="rId4" o:title=""/>
          </v:shape>
          <w:control r:id="rId34" w:name="DefaultOcxName29" w:shapeid="_x0000_i1087"/>
        </w:object>
      </w:r>
      <w:r>
        <w:rPr>
          <w:rFonts w:ascii="Arial" w:hAnsi="Arial" w:cs="Arial"/>
          <w:color w:val="000000"/>
          <w:sz w:val="20"/>
          <w:szCs w:val="20"/>
        </w:rPr>
        <w:t>break-even point decreases</w:t>
      </w:r>
      <w:r>
        <w:t xml:space="preserve"> </w:t>
      </w:r>
      <w:r>
        <w:br/>
        <w:t xml:space="preserve">       </w:t>
      </w:r>
      <w:r>
        <w:object w:dxaOrig="225" w:dyaOrig="225">
          <v:shape id="_x0000_i1086" type="#_x0000_t75" style="width:20.25pt;height:18pt" o:ole="">
            <v:imagedata r:id="rId4" o:title=""/>
          </v:shape>
          <w:control r:id="rId35" w:name="DefaultOcxName30" w:shapeid="_x0000_i1086"/>
        </w:object>
      </w:r>
      <w:r>
        <w:rPr>
          <w:rFonts w:ascii="Arial" w:hAnsi="Arial" w:cs="Arial"/>
          <w:color w:val="000000"/>
          <w:sz w:val="20"/>
          <w:szCs w:val="20"/>
        </w:rPr>
        <w:t>variable expenses as a percentage of net sales increase</w:t>
      </w:r>
      <w:r>
        <w:t xml:space="preserve"> </w:t>
      </w:r>
      <w:r>
        <w:br/>
        <w:t xml:space="preserve">       </w:t>
      </w:r>
      <w:r>
        <w:object w:dxaOrig="225" w:dyaOrig="225">
          <v:shape id="_x0000_i1085" type="#_x0000_t75" style="width:20.25pt;height:18pt" o:ole="">
            <v:imagedata r:id="rId4" o:title=""/>
          </v:shape>
          <w:control r:id="rId36" w:name="DefaultOcxName31" w:shapeid="_x0000_i1085"/>
        </w:object>
      </w:r>
      <w:r>
        <w:rPr>
          <w:rFonts w:ascii="Arial" w:hAnsi="Arial" w:cs="Arial"/>
          <w:color w:val="000000"/>
          <w:sz w:val="20"/>
          <w:szCs w:val="20"/>
        </w:rPr>
        <w:t>variable expenses as a percentage of net sales decrease</w:t>
      </w:r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9.</w:t>
      </w:r>
      <w:r>
        <w:t> </w:t>
      </w:r>
      <w:r>
        <w:rPr>
          <w:sz w:val="20"/>
          <w:szCs w:val="20"/>
        </w:rPr>
        <w:t>The break-even point in unit sales is found by dividing total fixed expenses by:</w:t>
      </w:r>
      <w:r>
        <w:t xml:space="preserve"> </w:t>
      </w:r>
      <w:r>
        <w:br/>
        <w:t xml:space="preserve">       </w:t>
      </w:r>
      <w:r>
        <w:object w:dxaOrig="225" w:dyaOrig="225">
          <v:shape id="_x0000_i1084" type="#_x0000_t75" style="width:20.25pt;height:18pt" o:ole="">
            <v:imagedata r:id="rId4" o:title=""/>
          </v:shape>
          <w:control r:id="rId37" w:name="DefaultOcxName32" w:shapeid="_x0000_i1084"/>
        </w:object>
      </w:r>
      <w:r>
        <w:rPr>
          <w:sz w:val="20"/>
          <w:szCs w:val="20"/>
        </w:rPr>
        <w:t>the contribution margin ratio</w:t>
      </w:r>
      <w:r>
        <w:t xml:space="preserve"> </w:t>
      </w:r>
      <w:r>
        <w:br/>
        <w:t xml:space="preserve">       </w:t>
      </w:r>
      <w:r>
        <w:object w:dxaOrig="225" w:dyaOrig="225">
          <v:shape id="_x0000_i1083" type="#_x0000_t75" style="width:20.25pt;height:18pt" o:ole="">
            <v:imagedata r:id="rId4" o:title=""/>
          </v:shape>
          <w:control r:id="rId38" w:name="DefaultOcxName33" w:shapeid="_x0000_i1083"/>
        </w:object>
      </w:r>
      <w:r>
        <w:rPr>
          <w:sz w:val="20"/>
          <w:szCs w:val="20"/>
        </w:rPr>
        <w:t>the variable expenses per unit</w:t>
      </w:r>
      <w:r>
        <w:t xml:space="preserve"> </w:t>
      </w:r>
      <w:r>
        <w:br/>
        <w:t xml:space="preserve">       </w:t>
      </w:r>
      <w:r>
        <w:object w:dxaOrig="225" w:dyaOrig="225">
          <v:shape id="_x0000_i1082" type="#_x0000_t75" style="width:20.25pt;height:18pt" o:ole="">
            <v:imagedata r:id="rId4" o:title=""/>
          </v:shape>
          <w:control r:id="rId39" w:name="DefaultOcxName34" w:shapeid="_x0000_i1082"/>
        </w:object>
      </w:r>
      <w:r>
        <w:rPr>
          <w:sz w:val="20"/>
          <w:szCs w:val="20"/>
        </w:rPr>
        <w:t>the sales price per unit</w:t>
      </w:r>
      <w:r>
        <w:t xml:space="preserve"> </w:t>
      </w:r>
      <w:r>
        <w:br/>
        <w:t xml:space="preserve">       </w:t>
      </w:r>
      <w:r>
        <w:object w:dxaOrig="225" w:dyaOrig="225">
          <v:shape id="_x0000_i1081" type="#_x0000_t75" style="width:20.25pt;height:18pt" o:ole="">
            <v:imagedata r:id="rId4" o:title=""/>
          </v:shape>
          <w:control r:id="rId40" w:name="DefaultOcxName35" w:shapeid="_x0000_i1081"/>
        </w:object>
      </w:r>
      <w:r>
        <w:rPr>
          <w:sz w:val="20"/>
          <w:szCs w:val="20"/>
        </w:rPr>
        <w:t>the contribution margin per unit</w:t>
      </w:r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10.</w:t>
      </w:r>
      <w:r>
        <w:t> </w:t>
      </w:r>
      <w:r>
        <w:rPr>
          <w:rFonts w:ascii="Arial" w:hAnsi="Arial" w:cs="Arial"/>
          <w:sz w:val="20"/>
          <w:szCs w:val="20"/>
        </w:rPr>
        <w:t xml:space="preserve"> Under variable costing:</w:t>
      </w:r>
      <w:r>
        <w:rPr>
          <w:sz w:val="20"/>
          <w:szCs w:val="20"/>
        </w:rPr>
        <w:t xml:space="preserve"> </w:t>
      </w:r>
      <w:r>
        <w:br/>
        <w:t xml:space="preserve">       </w:t>
      </w:r>
      <w:r>
        <w:object w:dxaOrig="225" w:dyaOrig="225">
          <v:shape id="_x0000_i1080" type="#_x0000_t75" style="width:20.25pt;height:18pt" o:ole="">
            <v:imagedata r:id="rId4" o:title=""/>
          </v:shape>
          <w:control r:id="rId41" w:name="DefaultOcxName36" w:shapeid="_x0000_i1080"/>
        </w:object>
      </w:r>
      <w:r>
        <w:rPr>
          <w:sz w:val="20"/>
          <w:szCs w:val="20"/>
        </w:rPr>
        <w:t>net operating income will tend to move up and down in response to changes in levels of production</w:t>
      </w:r>
      <w:r>
        <w:t xml:space="preserve"> </w:t>
      </w:r>
      <w:r>
        <w:br/>
        <w:t xml:space="preserve">       </w:t>
      </w:r>
      <w:r>
        <w:object w:dxaOrig="225" w:dyaOrig="225">
          <v:shape id="_x0000_i1079" type="#_x0000_t75" style="width:20.25pt;height:18pt" o:ole="">
            <v:imagedata r:id="rId4" o:title=""/>
          </v:shape>
          <w:control r:id="rId42" w:name="DefaultOcxName37" w:shapeid="_x0000_i1079"/>
        </w:object>
      </w:r>
      <w:r>
        <w:rPr>
          <w:sz w:val="20"/>
          <w:szCs w:val="20"/>
        </w:rPr>
        <w:t>inventory costs will be lower than under absorption costing</w:t>
      </w:r>
      <w:r>
        <w:t xml:space="preserve"> </w:t>
      </w:r>
      <w:r>
        <w:br/>
        <w:t xml:space="preserve">       </w:t>
      </w:r>
      <w:r>
        <w:object w:dxaOrig="225" w:dyaOrig="225">
          <v:shape id="_x0000_i1078" type="#_x0000_t75" style="width:20.25pt;height:18pt" o:ole="">
            <v:imagedata r:id="rId4" o:title=""/>
          </v:shape>
          <w:control r:id="rId43" w:name="DefaultOcxName38" w:shapeid="_x0000_i1078"/>
        </w:object>
      </w:r>
      <w:r>
        <w:rPr>
          <w:sz w:val="20"/>
          <w:szCs w:val="20"/>
        </w:rPr>
        <w:t>net operating income will tend to vary inversely with production changes</w:t>
      </w:r>
      <w:r>
        <w:t xml:space="preserve"> </w:t>
      </w:r>
      <w:r>
        <w:br/>
        <w:t xml:space="preserve">       </w:t>
      </w:r>
      <w:r>
        <w:object w:dxaOrig="225" w:dyaOrig="225">
          <v:shape id="_x0000_i1077" type="#_x0000_t75" style="width:20.25pt;height:18pt" o:ole="">
            <v:imagedata r:id="rId4" o:title=""/>
          </v:shape>
          <w:control r:id="rId44" w:name="DefaultOcxName39" w:shapeid="_x0000_i1077"/>
        </w:object>
      </w:r>
      <w:r>
        <w:rPr>
          <w:sz w:val="20"/>
          <w:szCs w:val="20"/>
        </w:rPr>
        <w:t>net operating income will always be higher than under absorption costing</w:t>
      </w:r>
      <w:r>
        <w:t xml:space="preserve"> </w:t>
      </w:r>
    </w:p>
    <w:p w:rsidR="00F871B8" w:rsidRDefault="00F871B8" w:rsidP="00F871B8">
      <w:pPr>
        <w:spacing w:after="0" w:line="240" w:lineRule="auto"/>
      </w:pPr>
    </w:p>
    <w:p w:rsidR="00F871B8" w:rsidRPr="00F871B8" w:rsidRDefault="00F871B8" w:rsidP="00F8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871B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871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71B8">
        <w:rPr>
          <w:rFonts w:ascii="Arial" w:eastAsia="Times New Roman" w:hAnsi="Arial" w:cs="Arial"/>
          <w:sz w:val="20"/>
          <w:szCs w:val="20"/>
        </w:rPr>
        <w:t xml:space="preserve">The following data (in thousands of dollars) have been taken from the accounting records of </w:t>
      </w:r>
      <w:proofErr w:type="spellStart"/>
      <w:r w:rsidRPr="00F871B8">
        <w:rPr>
          <w:rFonts w:ascii="Arial" w:eastAsia="Times New Roman" w:hAnsi="Arial" w:cs="Arial"/>
          <w:b/>
          <w:bCs/>
          <w:sz w:val="20"/>
        </w:rPr>
        <w:t>Larklin</w:t>
      </w:r>
      <w:proofErr w:type="spellEnd"/>
      <w:r w:rsidRPr="00F871B8">
        <w:rPr>
          <w:rFonts w:ascii="Arial" w:eastAsia="Times New Roman" w:hAnsi="Arial" w:cs="Arial"/>
          <w:b/>
          <w:bCs/>
          <w:sz w:val="20"/>
        </w:rPr>
        <w:t xml:space="preserve"> Corporation</w:t>
      </w:r>
      <w:r w:rsidRPr="00F871B8">
        <w:rPr>
          <w:rFonts w:ascii="Arial" w:eastAsia="Times New Roman" w:hAnsi="Arial" w:cs="Arial"/>
          <w:sz w:val="20"/>
          <w:szCs w:val="20"/>
        </w:rPr>
        <w:t xml:space="preserve"> for the just completed year.</w:t>
      </w:r>
      <w:r w:rsidRPr="00F87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3634"/>
        <w:gridCol w:w="1080"/>
      </w:tblGrid>
      <w:tr w:rsidR="00F871B8" w:rsidRPr="00F87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Sales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$820 </w:t>
            </w:r>
          </w:p>
        </w:tc>
      </w:tr>
      <w:tr w:rsidR="00F871B8" w:rsidRPr="00F87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Purchases of raw materials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$180 </w:t>
            </w:r>
          </w:p>
        </w:tc>
      </w:tr>
      <w:tr w:rsidR="00F871B8" w:rsidRPr="00F87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Direct labor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$130 </w:t>
            </w:r>
          </w:p>
        </w:tc>
      </w:tr>
      <w:tr w:rsidR="00F871B8" w:rsidRPr="00F87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Manufacturing overhead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$200 </w:t>
            </w:r>
          </w:p>
        </w:tc>
      </w:tr>
      <w:tr w:rsidR="00F871B8" w:rsidRPr="00F87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Administrative expenses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$180 </w:t>
            </w:r>
          </w:p>
        </w:tc>
      </w:tr>
      <w:tr w:rsidR="00F871B8" w:rsidRPr="00F87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Selling expenses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$140 </w:t>
            </w:r>
          </w:p>
        </w:tc>
      </w:tr>
      <w:tr w:rsidR="00F871B8" w:rsidRPr="00F87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Raw materials inventory, beginning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$60 </w:t>
            </w:r>
          </w:p>
        </w:tc>
      </w:tr>
      <w:tr w:rsidR="00F871B8" w:rsidRPr="00F87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Raw materials inventory, ending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$20 </w:t>
            </w:r>
          </w:p>
        </w:tc>
      </w:tr>
      <w:tr w:rsidR="00F871B8" w:rsidRPr="00F87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Work in process inventory, beginning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$50 </w:t>
            </w:r>
          </w:p>
        </w:tc>
      </w:tr>
      <w:tr w:rsidR="00F871B8" w:rsidRPr="00F87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Work in process inventory, ending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$20 </w:t>
            </w:r>
          </w:p>
        </w:tc>
      </w:tr>
      <w:tr w:rsidR="00F871B8" w:rsidRPr="00F87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Finished goods inventory, beginning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$110 </w:t>
            </w:r>
          </w:p>
        </w:tc>
      </w:tr>
      <w:tr w:rsidR="00F871B8" w:rsidRPr="00F87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Finished goods inventory, ending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1B8" w:rsidRPr="00F871B8" w:rsidRDefault="00F871B8" w:rsidP="00F871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Arial" w:eastAsia="Times New Roman" w:hAnsi="Arial" w:cs="Arial"/>
                <w:sz w:val="20"/>
                <w:szCs w:val="20"/>
              </w:rPr>
              <w:t xml:space="preserve"> $150 </w:t>
            </w:r>
          </w:p>
        </w:tc>
      </w:tr>
    </w:tbl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Arial" w:eastAsia="Times New Roman" w:hAnsi="Arial" w:cs="Arial"/>
          <w:sz w:val="20"/>
          <w:szCs w:val="20"/>
        </w:rPr>
        <w:t> </w:t>
      </w:r>
      <w:r w:rsidRPr="00F871B8">
        <w:rPr>
          <w:rFonts w:ascii="Arial" w:eastAsia="Times New Roman" w:hAnsi="Arial" w:cs="Arial"/>
          <w:b/>
          <w:bCs/>
          <w:sz w:val="20"/>
        </w:rPr>
        <w:t xml:space="preserve">Required: </w:t>
      </w:r>
      <w:r w:rsidRPr="00F871B8">
        <w:rPr>
          <w:rFonts w:ascii="Arial" w:eastAsia="Times New Roman" w:hAnsi="Arial" w:cs="Arial"/>
          <w:sz w:val="20"/>
          <w:szCs w:val="20"/>
        </w:rPr>
        <w:t>Prepare a Schedule of Cost of Goods Manufactured</w:t>
      </w:r>
      <w:proofErr w:type="gramStart"/>
      <w:r w:rsidRPr="00F871B8">
        <w:rPr>
          <w:rFonts w:ascii="Arial" w:eastAsia="Times New Roman" w:hAnsi="Arial" w:cs="Arial"/>
          <w:sz w:val="20"/>
          <w:szCs w:val="20"/>
        </w:rPr>
        <w:t>  statement</w:t>
      </w:r>
      <w:proofErr w:type="gramEnd"/>
      <w:r w:rsidRPr="00F871B8">
        <w:rPr>
          <w:rFonts w:ascii="Arial" w:eastAsia="Times New Roman" w:hAnsi="Arial" w:cs="Arial"/>
          <w:sz w:val="20"/>
          <w:szCs w:val="20"/>
        </w:rPr>
        <w:t xml:space="preserve"> in the text box below.</w:t>
      </w:r>
    </w:p>
    <w:p w:rsidR="00F871B8" w:rsidRPr="00F871B8" w:rsidRDefault="00F871B8" w:rsidP="00F8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871B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871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71B8">
        <w:rPr>
          <w:rFonts w:ascii="Times New Roman" w:eastAsia="Times New Roman" w:hAnsi="Times New Roman" w:cs="Times New Roman"/>
          <w:sz w:val="20"/>
          <w:szCs w:val="20"/>
        </w:rPr>
        <w:t>The Michigan Company manufactures a product that goes through three processing departments.  Information relating to activity in the first department during June is given below:</w:t>
      </w:r>
      <w:r w:rsidRPr="00F87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  Percent completed</w:t>
      </w:r>
      <w:r w:rsidRPr="00F871B8">
        <w:rPr>
          <w:rFonts w:ascii="Times New Roman" w:eastAsia="Times New Roman" w:hAnsi="Times New Roman" w:cs="Times New Roman"/>
          <w:sz w:val="20"/>
          <w:szCs w:val="20"/>
        </w:rPr>
        <w:br/>
        <w:t>                                                 Units              Materials            Conversion</w:t>
      </w:r>
      <w:r w:rsidRPr="00F871B8">
        <w:rPr>
          <w:rFonts w:ascii="Times New Roman" w:eastAsia="Times New Roman" w:hAnsi="Times New Roman" w:cs="Times New Roman"/>
          <w:sz w:val="20"/>
          <w:szCs w:val="20"/>
        </w:rPr>
        <w:br/>
        <w:t>Work in process, June 1              40,000               65%                  45%</w:t>
      </w:r>
      <w:r w:rsidRPr="00F871B8">
        <w:rPr>
          <w:rFonts w:ascii="Times New Roman" w:eastAsia="Times New Roman" w:hAnsi="Times New Roman" w:cs="Times New Roman"/>
          <w:sz w:val="20"/>
          <w:szCs w:val="20"/>
        </w:rPr>
        <w:br/>
        <w:t>Work in process, Jun 30              35,000               75%                  65%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Times New Roman" w:eastAsia="Times New Roman" w:hAnsi="Times New Roman" w:cs="Times New Roman"/>
          <w:sz w:val="20"/>
          <w:szCs w:val="20"/>
        </w:rPr>
        <w:t>The department started 175,000 units into production during the month and transferred 180,000 completed units to the next department.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Times New Roman" w:eastAsia="Times New Roman" w:hAnsi="Times New Roman" w:cs="Times New Roman"/>
          <w:sz w:val="20"/>
          <w:szCs w:val="20"/>
        </w:rPr>
        <w:t>REQUIRED:  Compute the equivalent units of production for the first department for June, assuming that the company uses the weighted-average method of accounting for units and costs.</w:t>
      </w:r>
    </w:p>
    <w:p w:rsidR="00F871B8" w:rsidRPr="00F871B8" w:rsidRDefault="00F871B8" w:rsidP="00F8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871B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871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71B8">
        <w:rPr>
          <w:rFonts w:ascii="Arial" w:eastAsia="Times New Roman" w:hAnsi="Arial" w:cs="Arial"/>
          <w:sz w:val="20"/>
          <w:szCs w:val="20"/>
        </w:rPr>
        <w:t xml:space="preserve"> A cement manufacturer has supplied the following data:</w:t>
      </w:r>
      <w:r w:rsidRPr="00F87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Arial" w:eastAsia="Times New Roman" w:hAnsi="Arial" w:cs="Arial"/>
          <w:sz w:val="20"/>
          <w:szCs w:val="20"/>
        </w:rPr>
        <w:t>Tons of cement produced and sold                                  220,000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Arial" w:eastAsia="Times New Roman" w:hAnsi="Arial" w:cs="Arial"/>
          <w:sz w:val="20"/>
          <w:szCs w:val="20"/>
        </w:rPr>
        <w:t>Sales revenue                                                               $924,000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Arial" w:eastAsia="Times New Roman" w:hAnsi="Arial" w:cs="Arial"/>
          <w:sz w:val="20"/>
          <w:szCs w:val="20"/>
        </w:rPr>
        <w:t>Variable manufacturing expense                                    $297,000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Arial" w:eastAsia="Times New Roman" w:hAnsi="Arial" w:cs="Arial"/>
          <w:sz w:val="20"/>
          <w:szCs w:val="20"/>
        </w:rPr>
        <w:t>Fixed manufacturing expense                                         $280,000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Arial" w:eastAsia="Times New Roman" w:hAnsi="Arial" w:cs="Arial"/>
          <w:sz w:val="20"/>
          <w:szCs w:val="20"/>
        </w:rPr>
        <w:t>Variable selling and admin expense                                $165,000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Arial" w:eastAsia="Times New Roman" w:hAnsi="Arial" w:cs="Arial"/>
          <w:sz w:val="20"/>
          <w:szCs w:val="20"/>
        </w:rPr>
        <w:t>Fixed selling and admin expense                                    $82,000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Arial" w:eastAsia="Times New Roman" w:hAnsi="Arial" w:cs="Arial"/>
          <w:sz w:val="20"/>
          <w:szCs w:val="20"/>
        </w:rPr>
        <w:t>Net operating income                                                    $100,000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Arial" w:eastAsia="Times New Roman" w:hAnsi="Arial" w:cs="Arial"/>
          <w:b/>
          <w:bCs/>
          <w:sz w:val="20"/>
        </w:rPr>
        <w:lastRenderedPageBreak/>
        <w:t>Required: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Arial" w:eastAsia="Times New Roman" w:hAnsi="Arial" w:cs="Arial"/>
          <w:sz w:val="20"/>
          <w:szCs w:val="20"/>
        </w:rPr>
        <w:t>a. Calculate the company's unit contribution margin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Arial" w:eastAsia="Times New Roman" w:hAnsi="Arial" w:cs="Arial"/>
          <w:sz w:val="20"/>
          <w:szCs w:val="20"/>
        </w:rPr>
        <w:t>b. Calculate the company's unit contribution ratio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Arial" w:eastAsia="Times New Roman" w:hAnsi="Arial" w:cs="Arial"/>
          <w:sz w:val="20"/>
          <w:szCs w:val="20"/>
        </w:rPr>
        <w:t>c. If the company increases its unit sales volume by 5% without increasing its fixed expenses, what would the company's net operating income be?</w:t>
      </w:r>
      <w:r w:rsidRPr="00F87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1B8" w:rsidRPr="00F871B8" w:rsidRDefault="00F871B8" w:rsidP="00F871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871B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871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71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871B8">
        <w:rPr>
          <w:rFonts w:ascii="Times New Roman" w:eastAsia="Times New Roman" w:hAnsi="Times New Roman" w:cs="Times New Roman"/>
          <w:color w:val="000000"/>
          <w:sz w:val="20"/>
          <w:szCs w:val="20"/>
        </w:rPr>
        <w:t>Maffei</w:t>
      </w:r>
      <w:proofErr w:type="spellEnd"/>
      <w:r w:rsidRPr="00F871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Company, which has only one product, has provided the following data concerning its most recent month of operations: </w:t>
      </w:r>
    </w:p>
    <w:tbl>
      <w:tblPr>
        <w:tblW w:w="46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70"/>
        <w:gridCol w:w="450"/>
        <w:gridCol w:w="1185"/>
      </w:tblGrid>
      <w:tr w:rsidR="00F871B8" w:rsidRPr="00F871B8">
        <w:trPr>
          <w:trHeight w:val="300"/>
          <w:tblCellSpacing w:w="0" w:type="dxa"/>
        </w:trPr>
        <w:tc>
          <w:tcPr>
            <w:tcW w:w="2970" w:type="dxa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Selling Price</w:t>
            </w:r>
          </w:p>
        </w:tc>
        <w:tc>
          <w:tcPr>
            <w:tcW w:w="450" w:type="dxa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$         138 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Units in beginning Inventory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Units Produced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Units sold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Units in ending Inventory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Variable Costs per unit: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Direct materials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$           42 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Direct labor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$           32 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Variable manufacturing overhead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$             1 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Variable selling and admin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$             8 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Fixed Costs: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Fixed manufacturing overhead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$   280,800 </w:t>
            </w:r>
          </w:p>
        </w:tc>
      </w:tr>
      <w:tr w:rsidR="00F871B8" w:rsidRPr="00F871B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>Fixed selling and admin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1B8" w:rsidRPr="00F871B8" w:rsidRDefault="00F871B8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$     98,000 </w:t>
            </w:r>
          </w:p>
        </w:tc>
      </w:tr>
    </w:tbl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B8">
        <w:rPr>
          <w:rFonts w:ascii="Times New Roman" w:eastAsia="Times New Roman" w:hAnsi="Times New Roman" w:cs="Times New Roman"/>
          <w:b/>
          <w:bCs/>
          <w:color w:val="000000"/>
          <w:sz w:val="20"/>
        </w:rPr>
        <w:t>Required:</w:t>
      </w:r>
    </w:p>
    <w:p w:rsidR="00F871B8" w:rsidRPr="00F871B8" w:rsidRDefault="00F871B8" w:rsidP="00F8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71B8">
        <w:rPr>
          <w:rFonts w:ascii="Times New Roman" w:eastAsia="Times New Roman" w:hAnsi="Times New Roman" w:cs="Times New Roman"/>
          <w:color w:val="000000"/>
          <w:sz w:val="20"/>
          <w:szCs w:val="20"/>
        </w:rPr>
        <w:t>a. What is the unit product cost for the month under variable costing?</w:t>
      </w:r>
      <w:r w:rsidRPr="00F871B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b. What is the unit product cost for the month under absorption costing?</w:t>
      </w:r>
      <w:r w:rsidRPr="00F871B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c. Prepare an income statement for the month using the variable costing method.</w:t>
      </w:r>
      <w:r w:rsidRPr="00F871B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d. Prepare an income statement for the month using the absorption costing method.</w:t>
      </w:r>
    </w:p>
    <w:p w:rsidR="000A306F" w:rsidRDefault="00F871B8"/>
    <w:sectPr w:rsidR="000A306F" w:rsidSect="00A8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1B8"/>
    <w:rsid w:val="003023DD"/>
    <w:rsid w:val="00660930"/>
    <w:rsid w:val="00A803CF"/>
    <w:rsid w:val="00F8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71B8"/>
    <w:rPr>
      <w:b/>
      <w:bCs/>
    </w:rPr>
  </w:style>
  <w:style w:type="paragraph" w:styleId="NormalWeb">
    <w:name w:val="Normal (Web)"/>
    <w:basedOn w:val="Normal"/>
    <w:uiPriority w:val="99"/>
    <w:unhideWhenUsed/>
    <w:rsid w:val="00F8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Gurpreet Kaur</dc:creator>
  <cp:keywords/>
  <dc:description/>
  <cp:lastModifiedBy>Gurpreet Kaur</cp:lastModifiedBy>
  <cp:revision>1</cp:revision>
  <dcterms:created xsi:type="dcterms:W3CDTF">2010-09-19T14:25:00Z</dcterms:created>
  <dcterms:modified xsi:type="dcterms:W3CDTF">2010-09-19T14:30:00Z</dcterms:modified>
</cp:coreProperties>
</file>