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D03" w:rsidRPr="00A63D0D" w:rsidRDefault="00600C9C">
      <w:pPr>
        <w:rPr>
          <w:rFonts w:ascii="Arial" w:hAnsi="Arial" w:cs="Arial"/>
          <w:sz w:val="24"/>
          <w:szCs w:val="24"/>
        </w:rPr>
      </w:pPr>
      <w:r w:rsidRPr="00A63D0D">
        <w:rPr>
          <w:rFonts w:ascii="Arial" w:hAnsi="Arial" w:cs="Arial"/>
          <w:sz w:val="24"/>
          <w:szCs w:val="24"/>
        </w:rPr>
        <w:t xml:space="preserve">59. Avery, Inc., is a wholesale distributor supplying a wide range of moderately priced sporting equipment to large chain stores. </w:t>
      </w:r>
      <w:r w:rsidR="00D42BFB" w:rsidRPr="00A63D0D">
        <w:rPr>
          <w:rFonts w:ascii="Arial" w:hAnsi="Arial" w:cs="Arial"/>
          <w:sz w:val="24"/>
          <w:szCs w:val="24"/>
        </w:rPr>
        <w:t xml:space="preserve"> About 60 percent of Avery’s products are purchased from other companies, and the remainders of the products are manufactured by Avery. The company has a plastics department that is currently manufacturing molded fishing tackle boxes. Avery is able to manufacture and sell 8,000 tackle boxes annually, making full use of its direct labor capacity at available workstations. The following table presents the selling price and costs associated with Avery’s tackle boxes:</w:t>
      </w:r>
    </w:p>
    <w:p w:rsidR="00D42BFB" w:rsidRPr="00A63D0D" w:rsidRDefault="00D42BFB">
      <w:pPr>
        <w:rPr>
          <w:rFonts w:ascii="Arial" w:hAnsi="Arial" w:cs="Arial"/>
          <w:sz w:val="24"/>
          <w:szCs w:val="24"/>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0"/>
        <w:gridCol w:w="1170"/>
        <w:gridCol w:w="2340"/>
      </w:tblGrid>
      <w:tr w:rsidR="00D42BFB" w:rsidRPr="00A63D0D" w:rsidTr="00A63D0D">
        <w:tblPrEx>
          <w:tblCellMar>
            <w:top w:w="0" w:type="dxa"/>
            <w:bottom w:w="0" w:type="dxa"/>
          </w:tblCellMar>
        </w:tblPrEx>
        <w:trPr>
          <w:trHeight w:val="510"/>
        </w:trPr>
        <w:tc>
          <w:tcPr>
            <w:tcW w:w="5610" w:type="dxa"/>
          </w:tcPr>
          <w:p w:rsidR="00D42BFB" w:rsidRPr="00A63D0D" w:rsidRDefault="00D42BFB">
            <w:pPr>
              <w:rPr>
                <w:rFonts w:ascii="Arial" w:hAnsi="Arial" w:cs="Arial"/>
                <w:sz w:val="24"/>
                <w:szCs w:val="24"/>
              </w:rPr>
            </w:pPr>
            <w:r w:rsidRPr="00A63D0D">
              <w:rPr>
                <w:rFonts w:ascii="Arial" w:hAnsi="Arial" w:cs="Arial"/>
                <w:sz w:val="24"/>
                <w:szCs w:val="24"/>
              </w:rPr>
              <w:t>Selling price</w:t>
            </w:r>
          </w:p>
        </w:tc>
        <w:tc>
          <w:tcPr>
            <w:tcW w:w="1170" w:type="dxa"/>
          </w:tcPr>
          <w:p w:rsidR="00D42BFB" w:rsidRPr="00A63D0D" w:rsidRDefault="00D42BFB">
            <w:pPr>
              <w:rPr>
                <w:rFonts w:ascii="Arial" w:hAnsi="Arial" w:cs="Arial"/>
                <w:sz w:val="24"/>
                <w:szCs w:val="24"/>
              </w:rPr>
            </w:pPr>
          </w:p>
        </w:tc>
        <w:tc>
          <w:tcPr>
            <w:tcW w:w="2340" w:type="dxa"/>
          </w:tcPr>
          <w:p w:rsidR="00D42BFB" w:rsidRPr="00A63D0D" w:rsidRDefault="00D42BFB">
            <w:pPr>
              <w:rPr>
                <w:rFonts w:ascii="Arial" w:hAnsi="Arial" w:cs="Arial"/>
                <w:sz w:val="24"/>
                <w:szCs w:val="24"/>
              </w:rPr>
            </w:pPr>
            <w:r w:rsidRPr="00A63D0D">
              <w:rPr>
                <w:rFonts w:ascii="Arial" w:hAnsi="Arial" w:cs="Arial"/>
                <w:sz w:val="24"/>
                <w:szCs w:val="24"/>
              </w:rPr>
              <w:t>$86.00</w:t>
            </w:r>
          </w:p>
        </w:tc>
      </w:tr>
      <w:tr w:rsidR="00D42BFB" w:rsidRPr="00A63D0D" w:rsidTr="00A63D0D">
        <w:tblPrEx>
          <w:tblCellMar>
            <w:top w:w="0" w:type="dxa"/>
            <w:bottom w:w="0" w:type="dxa"/>
          </w:tblCellMar>
        </w:tblPrEx>
        <w:trPr>
          <w:trHeight w:val="435"/>
        </w:trPr>
        <w:tc>
          <w:tcPr>
            <w:tcW w:w="5610" w:type="dxa"/>
          </w:tcPr>
          <w:p w:rsidR="00D42BFB" w:rsidRPr="00A63D0D" w:rsidRDefault="00D42BFB">
            <w:pPr>
              <w:rPr>
                <w:rFonts w:ascii="Arial" w:hAnsi="Arial" w:cs="Arial"/>
                <w:sz w:val="24"/>
                <w:szCs w:val="24"/>
              </w:rPr>
            </w:pPr>
            <w:r w:rsidRPr="00A63D0D">
              <w:rPr>
                <w:rFonts w:ascii="Arial" w:hAnsi="Arial" w:cs="Arial"/>
                <w:sz w:val="24"/>
                <w:szCs w:val="24"/>
              </w:rPr>
              <w:t>Costs per box:</w:t>
            </w:r>
          </w:p>
        </w:tc>
        <w:tc>
          <w:tcPr>
            <w:tcW w:w="1170" w:type="dxa"/>
          </w:tcPr>
          <w:p w:rsidR="00D42BFB" w:rsidRPr="00A63D0D" w:rsidRDefault="00D42BFB">
            <w:pPr>
              <w:rPr>
                <w:rFonts w:ascii="Arial" w:hAnsi="Arial" w:cs="Arial"/>
                <w:sz w:val="24"/>
                <w:szCs w:val="24"/>
              </w:rPr>
            </w:pPr>
          </w:p>
        </w:tc>
        <w:tc>
          <w:tcPr>
            <w:tcW w:w="2340" w:type="dxa"/>
          </w:tcPr>
          <w:p w:rsidR="00D42BFB" w:rsidRPr="00A63D0D" w:rsidRDefault="00D42BFB">
            <w:pPr>
              <w:rPr>
                <w:rFonts w:ascii="Arial" w:hAnsi="Arial" w:cs="Arial"/>
                <w:sz w:val="24"/>
                <w:szCs w:val="24"/>
              </w:rPr>
            </w:pPr>
          </w:p>
        </w:tc>
      </w:tr>
      <w:tr w:rsidR="00D42BFB" w:rsidRPr="00A63D0D" w:rsidTr="00A63D0D">
        <w:tblPrEx>
          <w:tblCellMar>
            <w:top w:w="0" w:type="dxa"/>
            <w:bottom w:w="0" w:type="dxa"/>
          </w:tblCellMar>
        </w:tblPrEx>
        <w:trPr>
          <w:trHeight w:val="480"/>
        </w:trPr>
        <w:tc>
          <w:tcPr>
            <w:tcW w:w="5610" w:type="dxa"/>
          </w:tcPr>
          <w:p w:rsidR="00D42BFB" w:rsidRPr="00A63D0D" w:rsidRDefault="00D42BFB">
            <w:pPr>
              <w:rPr>
                <w:rFonts w:ascii="Arial" w:hAnsi="Arial" w:cs="Arial"/>
                <w:sz w:val="24"/>
                <w:szCs w:val="24"/>
              </w:rPr>
            </w:pPr>
            <w:r w:rsidRPr="00A63D0D">
              <w:rPr>
                <w:rFonts w:ascii="Arial" w:hAnsi="Arial" w:cs="Arial"/>
                <w:sz w:val="24"/>
                <w:szCs w:val="24"/>
              </w:rPr>
              <w:t>Molded plastic</w:t>
            </w:r>
          </w:p>
        </w:tc>
        <w:tc>
          <w:tcPr>
            <w:tcW w:w="1170" w:type="dxa"/>
          </w:tcPr>
          <w:p w:rsidR="00D42BFB" w:rsidRPr="00A63D0D" w:rsidRDefault="00D42BFB">
            <w:pPr>
              <w:rPr>
                <w:rFonts w:ascii="Arial" w:hAnsi="Arial" w:cs="Arial"/>
                <w:sz w:val="24"/>
                <w:szCs w:val="24"/>
              </w:rPr>
            </w:pPr>
            <w:r w:rsidRPr="00A63D0D">
              <w:rPr>
                <w:rFonts w:ascii="Arial" w:hAnsi="Arial" w:cs="Arial"/>
                <w:sz w:val="24"/>
                <w:szCs w:val="24"/>
              </w:rPr>
              <w:t>$8.00</w:t>
            </w:r>
          </w:p>
        </w:tc>
        <w:tc>
          <w:tcPr>
            <w:tcW w:w="2340" w:type="dxa"/>
          </w:tcPr>
          <w:p w:rsidR="00D42BFB" w:rsidRPr="00A63D0D" w:rsidRDefault="00D42BFB">
            <w:pPr>
              <w:rPr>
                <w:rFonts w:ascii="Arial" w:hAnsi="Arial" w:cs="Arial"/>
                <w:sz w:val="24"/>
                <w:szCs w:val="24"/>
              </w:rPr>
            </w:pPr>
          </w:p>
        </w:tc>
      </w:tr>
      <w:tr w:rsidR="00D42BFB" w:rsidRPr="00A63D0D" w:rsidTr="00A63D0D">
        <w:tblPrEx>
          <w:tblCellMar>
            <w:top w:w="0" w:type="dxa"/>
            <w:bottom w:w="0" w:type="dxa"/>
          </w:tblCellMar>
        </w:tblPrEx>
        <w:trPr>
          <w:trHeight w:val="330"/>
        </w:trPr>
        <w:tc>
          <w:tcPr>
            <w:tcW w:w="5610" w:type="dxa"/>
          </w:tcPr>
          <w:p w:rsidR="00D42BFB" w:rsidRPr="00A63D0D" w:rsidRDefault="00D42BFB">
            <w:pPr>
              <w:rPr>
                <w:rFonts w:ascii="Arial" w:hAnsi="Arial" w:cs="Arial"/>
                <w:sz w:val="24"/>
                <w:szCs w:val="24"/>
              </w:rPr>
            </w:pPr>
            <w:r w:rsidRPr="00A63D0D">
              <w:rPr>
                <w:rFonts w:ascii="Arial" w:hAnsi="Arial" w:cs="Arial"/>
                <w:sz w:val="24"/>
                <w:szCs w:val="24"/>
              </w:rPr>
              <w:t>Hinges, latches, handle</w:t>
            </w:r>
          </w:p>
        </w:tc>
        <w:tc>
          <w:tcPr>
            <w:tcW w:w="1170" w:type="dxa"/>
          </w:tcPr>
          <w:p w:rsidR="00D42BFB" w:rsidRPr="00A63D0D" w:rsidRDefault="00D42BFB">
            <w:pPr>
              <w:rPr>
                <w:rFonts w:ascii="Arial" w:hAnsi="Arial" w:cs="Arial"/>
                <w:sz w:val="24"/>
                <w:szCs w:val="24"/>
              </w:rPr>
            </w:pPr>
            <w:r w:rsidRPr="00A63D0D">
              <w:rPr>
                <w:rFonts w:ascii="Arial" w:hAnsi="Arial" w:cs="Arial"/>
                <w:sz w:val="24"/>
                <w:szCs w:val="24"/>
              </w:rPr>
              <w:t>9.00</w:t>
            </w:r>
          </w:p>
        </w:tc>
        <w:tc>
          <w:tcPr>
            <w:tcW w:w="2340" w:type="dxa"/>
          </w:tcPr>
          <w:p w:rsidR="00D42BFB" w:rsidRPr="00A63D0D" w:rsidRDefault="00D42BFB">
            <w:pPr>
              <w:rPr>
                <w:rFonts w:ascii="Arial" w:hAnsi="Arial" w:cs="Arial"/>
                <w:sz w:val="24"/>
                <w:szCs w:val="24"/>
              </w:rPr>
            </w:pPr>
          </w:p>
        </w:tc>
      </w:tr>
      <w:tr w:rsidR="00D42BFB" w:rsidRPr="00A63D0D" w:rsidTr="00A63D0D">
        <w:tblPrEx>
          <w:tblCellMar>
            <w:top w:w="0" w:type="dxa"/>
            <w:bottom w:w="0" w:type="dxa"/>
          </w:tblCellMar>
        </w:tblPrEx>
        <w:trPr>
          <w:trHeight w:val="240"/>
        </w:trPr>
        <w:tc>
          <w:tcPr>
            <w:tcW w:w="5610" w:type="dxa"/>
          </w:tcPr>
          <w:p w:rsidR="00D42BFB" w:rsidRPr="00A63D0D" w:rsidRDefault="00D42BFB">
            <w:pPr>
              <w:rPr>
                <w:rFonts w:ascii="Arial" w:hAnsi="Arial" w:cs="Arial"/>
                <w:sz w:val="24"/>
                <w:szCs w:val="24"/>
              </w:rPr>
            </w:pPr>
            <w:r w:rsidRPr="00A63D0D">
              <w:rPr>
                <w:rFonts w:ascii="Arial" w:hAnsi="Arial" w:cs="Arial"/>
                <w:sz w:val="24"/>
                <w:szCs w:val="24"/>
              </w:rPr>
              <w:t>Direct labor ($15/hour)</w:t>
            </w:r>
          </w:p>
        </w:tc>
        <w:tc>
          <w:tcPr>
            <w:tcW w:w="1170" w:type="dxa"/>
          </w:tcPr>
          <w:p w:rsidR="00D42BFB" w:rsidRPr="00A63D0D" w:rsidRDefault="00D42BFB">
            <w:pPr>
              <w:rPr>
                <w:rFonts w:ascii="Arial" w:hAnsi="Arial" w:cs="Arial"/>
                <w:sz w:val="24"/>
                <w:szCs w:val="24"/>
              </w:rPr>
            </w:pPr>
            <w:r w:rsidRPr="00A63D0D">
              <w:rPr>
                <w:rFonts w:ascii="Arial" w:hAnsi="Arial" w:cs="Arial"/>
                <w:sz w:val="24"/>
                <w:szCs w:val="24"/>
              </w:rPr>
              <w:t>18.75</w:t>
            </w:r>
          </w:p>
        </w:tc>
        <w:tc>
          <w:tcPr>
            <w:tcW w:w="2340" w:type="dxa"/>
          </w:tcPr>
          <w:p w:rsidR="00D42BFB" w:rsidRPr="00A63D0D" w:rsidRDefault="00D42BFB">
            <w:pPr>
              <w:rPr>
                <w:rFonts w:ascii="Arial" w:hAnsi="Arial" w:cs="Arial"/>
                <w:sz w:val="24"/>
                <w:szCs w:val="24"/>
              </w:rPr>
            </w:pPr>
          </w:p>
        </w:tc>
      </w:tr>
      <w:tr w:rsidR="00D42BFB" w:rsidRPr="00A63D0D" w:rsidTr="00A63D0D">
        <w:tblPrEx>
          <w:tblCellMar>
            <w:top w:w="0" w:type="dxa"/>
            <w:bottom w:w="0" w:type="dxa"/>
          </w:tblCellMar>
        </w:tblPrEx>
        <w:trPr>
          <w:trHeight w:val="285"/>
        </w:trPr>
        <w:tc>
          <w:tcPr>
            <w:tcW w:w="5610" w:type="dxa"/>
          </w:tcPr>
          <w:p w:rsidR="00D42BFB" w:rsidRPr="00A63D0D" w:rsidRDefault="00D42BFB">
            <w:pPr>
              <w:rPr>
                <w:rFonts w:ascii="Arial" w:hAnsi="Arial" w:cs="Arial"/>
                <w:sz w:val="24"/>
                <w:szCs w:val="24"/>
              </w:rPr>
            </w:pPr>
            <w:r w:rsidRPr="00A63D0D">
              <w:rPr>
                <w:rFonts w:ascii="Arial" w:hAnsi="Arial" w:cs="Arial"/>
                <w:sz w:val="24"/>
                <w:szCs w:val="24"/>
              </w:rPr>
              <w:t>Manufacturing overhead</w:t>
            </w:r>
          </w:p>
        </w:tc>
        <w:tc>
          <w:tcPr>
            <w:tcW w:w="1170" w:type="dxa"/>
          </w:tcPr>
          <w:p w:rsidR="00D42BFB" w:rsidRPr="00A63D0D" w:rsidRDefault="00D42BFB">
            <w:pPr>
              <w:rPr>
                <w:rFonts w:ascii="Arial" w:hAnsi="Arial" w:cs="Arial"/>
                <w:sz w:val="24"/>
                <w:szCs w:val="24"/>
              </w:rPr>
            </w:pPr>
            <w:r w:rsidRPr="00A63D0D">
              <w:rPr>
                <w:rFonts w:ascii="Arial" w:hAnsi="Arial" w:cs="Arial"/>
                <w:sz w:val="24"/>
                <w:szCs w:val="24"/>
              </w:rPr>
              <w:t>12.50</w:t>
            </w:r>
          </w:p>
        </w:tc>
        <w:tc>
          <w:tcPr>
            <w:tcW w:w="2340" w:type="dxa"/>
          </w:tcPr>
          <w:p w:rsidR="00D42BFB" w:rsidRPr="00A63D0D" w:rsidRDefault="00D42BFB">
            <w:pPr>
              <w:rPr>
                <w:rFonts w:ascii="Arial" w:hAnsi="Arial" w:cs="Arial"/>
                <w:sz w:val="24"/>
                <w:szCs w:val="24"/>
              </w:rPr>
            </w:pPr>
          </w:p>
        </w:tc>
      </w:tr>
      <w:tr w:rsidR="00D42BFB" w:rsidRPr="00A63D0D" w:rsidTr="00A63D0D">
        <w:tblPrEx>
          <w:tblCellMar>
            <w:top w:w="0" w:type="dxa"/>
            <w:bottom w:w="0" w:type="dxa"/>
          </w:tblCellMar>
        </w:tblPrEx>
        <w:trPr>
          <w:trHeight w:val="225"/>
        </w:trPr>
        <w:tc>
          <w:tcPr>
            <w:tcW w:w="5610" w:type="dxa"/>
          </w:tcPr>
          <w:p w:rsidR="00D42BFB" w:rsidRPr="00A63D0D" w:rsidRDefault="00D42BFB">
            <w:pPr>
              <w:rPr>
                <w:rFonts w:ascii="Arial" w:hAnsi="Arial" w:cs="Arial"/>
                <w:sz w:val="24"/>
                <w:szCs w:val="24"/>
              </w:rPr>
            </w:pPr>
            <w:r w:rsidRPr="00A63D0D">
              <w:rPr>
                <w:rFonts w:ascii="Arial" w:hAnsi="Arial" w:cs="Arial"/>
                <w:sz w:val="24"/>
                <w:szCs w:val="24"/>
              </w:rPr>
              <w:t>Selling and administrative cost</w:t>
            </w:r>
          </w:p>
        </w:tc>
        <w:tc>
          <w:tcPr>
            <w:tcW w:w="1170" w:type="dxa"/>
          </w:tcPr>
          <w:p w:rsidR="00D42BFB" w:rsidRPr="00A63D0D" w:rsidRDefault="00525CD1">
            <w:pPr>
              <w:rPr>
                <w:rFonts w:ascii="Arial" w:hAnsi="Arial" w:cs="Arial"/>
                <w:sz w:val="24"/>
                <w:szCs w:val="24"/>
              </w:rPr>
            </w:pPr>
            <w:r w:rsidRPr="00A63D0D">
              <w:rPr>
                <w:rFonts w:ascii="Arial" w:hAnsi="Arial" w:cs="Arial"/>
                <w:sz w:val="24"/>
                <w:szCs w:val="24"/>
              </w:rPr>
              <w:t>$17.00*</w:t>
            </w:r>
          </w:p>
        </w:tc>
        <w:tc>
          <w:tcPr>
            <w:tcW w:w="2340" w:type="dxa"/>
          </w:tcPr>
          <w:p w:rsidR="00D42BFB" w:rsidRPr="00A63D0D" w:rsidRDefault="00525CD1">
            <w:pPr>
              <w:rPr>
                <w:rFonts w:ascii="Arial" w:hAnsi="Arial" w:cs="Arial"/>
                <w:sz w:val="24"/>
                <w:szCs w:val="24"/>
              </w:rPr>
            </w:pPr>
            <w:r w:rsidRPr="00A63D0D">
              <w:rPr>
                <w:rFonts w:ascii="Arial" w:hAnsi="Arial" w:cs="Arial"/>
                <w:sz w:val="24"/>
                <w:szCs w:val="24"/>
              </w:rPr>
              <w:t>65.25</w:t>
            </w:r>
          </w:p>
        </w:tc>
      </w:tr>
      <w:tr w:rsidR="00D42BFB" w:rsidRPr="00A63D0D" w:rsidTr="00A63D0D">
        <w:tblPrEx>
          <w:tblCellMar>
            <w:top w:w="0" w:type="dxa"/>
            <w:bottom w:w="0" w:type="dxa"/>
          </w:tblCellMar>
        </w:tblPrEx>
        <w:trPr>
          <w:trHeight w:val="375"/>
        </w:trPr>
        <w:tc>
          <w:tcPr>
            <w:tcW w:w="5610" w:type="dxa"/>
          </w:tcPr>
          <w:p w:rsidR="00D42BFB" w:rsidRPr="00A63D0D" w:rsidRDefault="00525CD1">
            <w:pPr>
              <w:rPr>
                <w:rFonts w:ascii="Arial" w:hAnsi="Arial" w:cs="Arial"/>
                <w:sz w:val="24"/>
                <w:szCs w:val="24"/>
              </w:rPr>
            </w:pPr>
            <w:r w:rsidRPr="00A63D0D">
              <w:rPr>
                <w:rFonts w:ascii="Arial" w:hAnsi="Arial" w:cs="Arial"/>
                <w:sz w:val="24"/>
                <w:szCs w:val="24"/>
              </w:rPr>
              <w:t>Profit per box</w:t>
            </w:r>
          </w:p>
        </w:tc>
        <w:tc>
          <w:tcPr>
            <w:tcW w:w="1170" w:type="dxa"/>
          </w:tcPr>
          <w:p w:rsidR="00D42BFB" w:rsidRPr="00A63D0D" w:rsidRDefault="00D42BFB">
            <w:pPr>
              <w:rPr>
                <w:rFonts w:ascii="Arial" w:hAnsi="Arial" w:cs="Arial"/>
                <w:sz w:val="24"/>
                <w:szCs w:val="24"/>
              </w:rPr>
            </w:pPr>
          </w:p>
        </w:tc>
        <w:tc>
          <w:tcPr>
            <w:tcW w:w="2340" w:type="dxa"/>
          </w:tcPr>
          <w:p w:rsidR="00D42BFB" w:rsidRPr="00A63D0D" w:rsidRDefault="00525CD1">
            <w:pPr>
              <w:rPr>
                <w:rFonts w:ascii="Arial" w:hAnsi="Arial" w:cs="Arial"/>
                <w:sz w:val="24"/>
                <w:szCs w:val="24"/>
              </w:rPr>
            </w:pPr>
            <w:r w:rsidRPr="00A63D0D">
              <w:rPr>
                <w:rFonts w:ascii="Arial" w:hAnsi="Arial" w:cs="Arial"/>
                <w:sz w:val="24"/>
                <w:szCs w:val="24"/>
              </w:rPr>
              <w:t>$20.75</w:t>
            </w:r>
          </w:p>
        </w:tc>
      </w:tr>
      <w:tr w:rsidR="00D42BFB" w:rsidRPr="00A63D0D" w:rsidTr="00A63D0D">
        <w:tblPrEx>
          <w:tblCellMar>
            <w:top w:w="0" w:type="dxa"/>
            <w:bottom w:w="0" w:type="dxa"/>
          </w:tblCellMar>
        </w:tblPrEx>
        <w:trPr>
          <w:trHeight w:val="720"/>
        </w:trPr>
        <w:tc>
          <w:tcPr>
            <w:tcW w:w="5610" w:type="dxa"/>
          </w:tcPr>
          <w:p w:rsidR="00D42BFB" w:rsidRPr="00A63D0D" w:rsidRDefault="00525CD1">
            <w:pPr>
              <w:rPr>
                <w:rFonts w:ascii="Arial" w:hAnsi="Arial" w:cs="Arial"/>
                <w:sz w:val="24"/>
                <w:szCs w:val="24"/>
              </w:rPr>
            </w:pPr>
            <w:r w:rsidRPr="00A63D0D">
              <w:rPr>
                <w:rFonts w:ascii="Arial" w:hAnsi="Arial" w:cs="Arial"/>
                <w:sz w:val="24"/>
                <w:szCs w:val="24"/>
              </w:rPr>
              <w:t>*Includes $6 per unit of fixed distribution costs.</w:t>
            </w:r>
          </w:p>
        </w:tc>
        <w:tc>
          <w:tcPr>
            <w:tcW w:w="1170" w:type="dxa"/>
          </w:tcPr>
          <w:p w:rsidR="00D42BFB" w:rsidRPr="00A63D0D" w:rsidRDefault="00D42BFB">
            <w:pPr>
              <w:rPr>
                <w:rFonts w:ascii="Arial" w:hAnsi="Arial" w:cs="Arial"/>
                <w:sz w:val="24"/>
                <w:szCs w:val="24"/>
              </w:rPr>
            </w:pPr>
          </w:p>
        </w:tc>
        <w:tc>
          <w:tcPr>
            <w:tcW w:w="2340" w:type="dxa"/>
          </w:tcPr>
          <w:p w:rsidR="00D42BFB" w:rsidRPr="00A63D0D" w:rsidRDefault="00D42BFB">
            <w:pPr>
              <w:rPr>
                <w:rFonts w:ascii="Arial" w:hAnsi="Arial" w:cs="Arial"/>
                <w:sz w:val="24"/>
                <w:szCs w:val="24"/>
              </w:rPr>
            </w:pPr>
          </w:p>
        </w:tc>
      </w:tr>
    </w:tbl>
    <w:p w:rsidR="00D42BFB" w:rsidRPr="00A63D0D" w:rsidRDefault="00D42BFB">
      <w:pPr>
        <w:rPr>
          <w:rFonts w:ascii="Arial" w:hAnsi="Arial" w:cs="Arial"/>
          <w:sz w:val="24"/>
          <w:szCs w:val="24"/>
        </w:rPr>
      </w:pPr>
    </w:p>
    <w:p w:rsidR="00525CD1" w:rsidRPr="00A63D0D" w:rsidRDefault="00525CD1">
      <w:pPr>
        <w:rPr>
          <w:rFonts w:ascii="Arial" w:hAnsi="Arial" w:cs="Arial"/>
          <w:sz w:val="24"/>
          <w:szCs w:val="24"/>
        </w:rPr>
      </w:pPr>
    </w:p>
    <w:p w:rsidR="00525CD1" w:rsidRPr="00A63D0D" w:rsidRDefault="00525CD1">
      <w:pPr>
        <w:rPr>
          <w:rFonts w:ascii="Arial" w:hAnsi="Arial" w:cs="Arial"/>
          <w:sz w:val="24"/>
          <w:szCs w:val="24"/>
        </w:rPr>
      </w:pPr>
      <w:r w:rsidRPr="00A63D0D">
        <w:rPr>
          <w:rFonts w:ascii="Arial" w:hAnsi="Arial" w:cs="Arial"/>
          <w:sz w:val="24"/>
          <w:szCs w:val="24"/>
        </w:rPr>
        <w:t>Because Avery believes that is could sell 12,000 tackle boxes, the company has looked into the possibility of purchasing the tackle boxes from another manufacturer. Craig Products, a supplier of quality products, could provide up to 9,000 tackle boxes per year at a per unit price of $68. Variable selling and administrative costs of $4 per unit will be incurred if the tackle boxes are purchased from Craig Products.</w:t>
      </w:r>
    </w:p>
    <w:p w:rsidR="00525CD1" w:rsidRPr="00A63D0D" w:rsidRDefault="00525CD1">
      <w:pPr>
        <w:rPr>
          <w:rFonts w:ascii="Arial" w:hAnsi="Arial" w:cs="Arial"/>
          <w:sz w:val="24"/>
          <w:szCs w:val="24"/>
        </w:rPr>
      </w:pPr>
      <w:r w:rsidRPr="00A63D0D">
        <w:rPr>
          <w:rFonts w:ascii="Arial" w:hAnsi="Arial" w:cs="Arial"/>
          <w:sz w:val="24"/>
          <w:szCs w:val="24"/>
        </w:rPr>
        <w:t>Bart Johnson, Avery’s product manager, has suggested that the company could make better use of its plastics department by purchasing the tackle boxes and manufacturing skateboards. To support his position, Johnson has a market study that indicates an expanding market for skateboards and a need for additional suppliers. Johnson believes that Avery could expect to sell 17,500 skate</w:t>
      </w:r>
      <w:r w:rsidR="00337799" w:rsidRPr="00A63D0D">
        <w:rPr>
          <w:rFonts w:ascii="Arial" w:hAnsi="Arial" w:cs="Arial"/>
          <w:sz w:val="24"/>
          <w:szCs w:val="24"/>
        </w:rPr>
        <w:t xml:space="preserve">boards annually at a price of $45.00 per </w:t>
      </w:r>
      <w:r w:rsidR="00337799" w:rsidRPr="00A63D0D">
        <w:rPr>
          <w:rFonts w:ascii="Arial" w:hAnsi="Arial" w:cs="Arial"/>
          <w:sz w:val="24"/>
          <w:szCs w:val="24"/>
        </w:rPr>
        <w:lastRenderedPageBreak/>
        <w:t>skateboard. Johnson’s estimate of the costs to manufacture the skateboards is as follows:</w:t>
      </w:r>
    </w:p>
    <w:p w:rsidR="00337799" w:rsidRPr="00A63D0D" w:rsidRDefault="00337799">
      <w:pPr>
        <w:rPr>
          <w:rFonts w:ascii="Arial" w:hAnsi="Arial" w:cs="Arial"/>
          <w:sz w:val="24"/>
          <w:szCs w:val="24"/>
        </w:rPr>
      </w:pPr>
    </w:p>
    <w:tbl>
      <w:tblPr>
        <w:tblW w:w="961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0"/>
        <w:gridCol w:w="1050"/>
        <w:gridCol w:w="3375"/>
      </w:tblGrid>
      <w:tr w:rsidR="00337799" w:rsidRPr="00A63D0D" w:rsidTr="00A63D0D">
        <w:tblPrEx>
          <w:tblCellMar>
            <w:top w:w="0" w:type="dxa"/>
            <w:bottom w:w="0" w:type="dxa"/>
          </w:tblCellMar>
        </w:tblPrEx>
        <w:trPr>
          <w:trHeight w:val="675"/>
        </w:trPr>
        <w:tc>
          <w:tcPr>
            <w:tcW w:w="5190" w:type="dxa"/>
          </w:tcPr>
          <w:p w:rsidR="00337799" w:rsidRPr="00A63D0D" w:rsidRDefault="00337799">
            <w:pPr>
              <w:rPr>
                <w:rFonts w:ascii="Arial" w:hAnsi="Arial" w:cs="Arial"/>
                <w:sz w:val="24"/>
                <w:szCs w:val="24"/>
              </w:rPr>
            </w:pPr>
            <w:r w:rsidRPr="00A63D0D">
              <w:rPr>
                <w:rFonts w:ascii="Arial" w:hAnsi="Arial" w:cs="Arial"/>
                <w:sz w:val="24"/>
                <w:szCs w:val="24"/>
              </w:rPr>
              <w:t>Selling price per skateboard</w:t>
            </w:r>
          </w:p>
        </w:tc>
        <w:tc>
          <w:tcPr>
            <w:tcW w:w="1050" w:type="dxa"/>
          </w:tcPr>
          <w:p w:rsidR="00337799" w:rsidRPr="00A63D0D" w:rsidRDefault="00337799">
            <w:pPr>
              <w:rPr>
                <w:rFonts w:ascii="Arial" w:hAnsi="Arial" w:cs="Arial"/>
                <w:sz w:val="24"/>
                <w:szCs w:val="24"/>
              </w:rPr>
            </w:pPr>
          </w:p>
        </w:tc>
        <w:tc>
          <w:tcPr>
            <w:tcW w:w="3375" w:type="dxa"/>
          </w:tcPr>
          <w:p w:rsidR="00337799" w:rsidRPr="00A63D0D" w:rsidRDefault="00337799">
            <w:pPr>
              <w:rPr>
                <w:rFonts w:ascii="Arial" w:hAnsi="Arial" w:cs="Arial"/>
                <w:sz w:val="24"/>
                <w:szCs w:val="24"/>
              </w:rPr>
            </w:pPr>
            <w:r w:rsidRPr="00A63D0D">
              <w:rPr>
                <w:rFonts w:ascii="Arial" w:hAnsi="Arial" w:cs="Arial"/>
                <w:sz w:val="24"/>
                <w:szCs w:val="24"/>
              </w:rPr>
              <w:t>$45.00</w:t>
            </w:r>
          </w:p>
        </w:tc>
      </w:tr>
      <w:tr w:rsidR="00337799" w:rsidRPr="00A63D0D" w:rsidTr="00A63D0D">
        <w:tblPrEx>
          <w:tblCellMar>
            <w:top w:w="0" w:type="dxa"/>
            <w:bottom w:w="0" w:type="dxa"/>
          </w:tblCellMar>
        </w:tblPrEx>
        <w:trPr>
          <w:trHeight w:val="615"/>
        </w:trPr>
        <w:tc>
          <w:tcPr>
            <w:tcW w:w="5190" w:type="dxa"/>
          </w:tcPr>
          <w:p w:rsidR="00337799" w:rsidRPr="00A63D0D" w:rsidRDefault="00337799">
            <w:pPr>
              <w:rPr>
                <w:rFonts w:ascii="Arial" w:hAnsi="Arial" w:cs="Arial"/>
                <w:sz w:val="24"/>
                <w:szCs w:val="24"/>
              </w:rPr>
            </w:pPr>
            <w:r w:rsidRPr="00A63D0D">
              <w:rPr>
                <w:rFonts w:ascii="Arial" w:hAnsi="Arial" w:cs="Arial"/>
                <w:sz w:val="24"/>
                <w:szCs w:val="24"/>
              </w:rPr>
              <w:t>Costs per skateboard:</w:t>
            </w:r>
          </w:p>
        </w:tc>
        <w:tc>
          <w:tcPr>
            <w:tcW w:w="1050" w:type="dxa"/>
          </w:tcPr>
          <w:p w:rsidR="00337799" w:rsidRPr="00A63D0D" w:rsidRDefault="00337799">
            <w:pPr>
              <w:rPr>
                <w:rFonts w:ascii="Arial" w:hAnsi="Arial" w:cs="Arial"/>
                <w:sz w:val="24"/>
                <w:szCs w:val="24"/>
              </w:rPr>
            </w:pPr>
          </w:p>
        </w:tc>
        <w:tc>
          <w:tcPr>
            <w:tcW w:w="3375" w:type="dxa"/>
          </w:tcPr>
          <w:p w:rsidR="00337799" w:rsidRPr="00A63D0D" w:rsidRDefault="00337799">
            <w:pPr>
              <w:rPr>
                <w:rFonts w:ascii="Arial" w:hAnsi="Arial" w:cs="Arial"/>
                <w:sz w:val="24"/>
                <w:szCs w:val="24"/>
              </w:rPr>
            </w:pPr>
          </w:p>
        </w:tc>
      </w:tr>
      <w:tr w:rsidR="00337799" w:rsidRPr="00A63D0D" w:rsidTr="00A63D0D">
        <w:tblPrEx>
          <w:tblCellMar>
            <w:top w:w="0" w:type="dxa"/>
            <w:bottom w:w="0" w:type="dxa"/>
          </w:tblCellMar>
        </w:tblPrEx>
        <w:trPr>
          <w:trHeight w:val="645"/>
        </w:trPr>
        <w:tc>
          <w:tcPr>
            <w:tcW w:w="5190" w:type="dxa"/>
          </w:tcPr>
          <w:p w:rsidR="00337799" w:rsidRPr="00A63D0D" w:rsidRDefault="00337799">
            <w:pPr>
              <w:rPr>
                <w:rFonts w:ascii="Arial" w:hAnsi="Arial" w:cs="Arial"/>
                <w:sz w:val="24"/>
                <w:szCs w:val="24"/>
              </w:rPr>
            </w:pPr>
            <w:r w:rsidRPr="00A63D0D">
              <w:rPr>
                <w:rFonts w:ascii="Arial" w:hAnsi="Arial" w:cs="Arial"/>
                <w:sz w:val="24"/>
                <w:szCs w:val="24"/>
              </w:rPr>
              <w:t>Molded plastic</w:t>
            </w:r>
          </w:p>
        </w:tc>
        <w:tc>
          <w:tcPr>
            <w:tcW w:w="1050" w:type="dxa"/>
          </w:tcPr>
          <w:p w:rsidR="00337799" w:rsidRPr="00A63D0D" w:rsidRDefault="00337799">
            <w:pPr>
              <w:rPr>
                <w:rFonts w:ascii="Arial" w:hAnsi="Arial" w:cs="Arial"/>
                <w:sz w:val="24"/>
                <w:szCs w:val="24"/>
              </w:rPr>
            </w:pPr>
            <w:r w:rsidRPr="00A63D0D">
              <w:rPr>
                <w:rFonts w:ascii="Arial" w:hAnsi="Arial" w:cs="Arial"/>
                <w:sz w:val="24"/>
                <w:szCs w:val="24"/>
              </w:rPr>
              <w:t>$5.50</w:t>
            </w:r>
          </w:p>
        </w:tc>
        <w:tc>
          <w:tcPr>
            <w:tcW w:w="3375" w:type="dxa"/>
          </w:tcPr>
          <w:p w:rsidR="00337799" w:rsidRPr="00A63D0D" w:rsidRDefault="00337799">
            <w:pPr>
              <w:rPr>
                <w:rFonts w:ascii="Arial" w:hAnsi="Arial" w:cs="Arial"/>
                <w:sz w:val="24"/>
                <w:szCs w:val="24"/>
              </w:rPr>
            </w:pPr>
          </w:p>
        </w:tc>
      </w:tr>
      <w:tr w:rsidR="00337799" w:rsidRPr="00A63D0D" w:rsidTr="00A63D0D">
        <w:tblPrEx>
          <w:tblCellMar>
            <w:top w:w="0" w:type="dxa"/>
            <w:bottom w:w="0" w:type="dxa"/>
          </w:tblCellMar>
        </w:tblPrEx>
        <w:trPr>
          <w:trHeight w:val="660"/>
        </w:trPr>
        <w:tc>
          <w:tcPr>
            <w:tcW w:w="5190" w:type="dxa"/>
          </w:tcPr>
          <w:p w:rsidR="00337799" w:rsidRPr="00A63D0D" w:rsidRDefault="00337799">
            <w:pPr>
              <w:rPr>
                <w:rFonts w:ascii="Arial" w:hAnsi="Arial" w:cs="Arial"/>
                <w:sz w:val="24"/>
                <w:szCs w:val="24"/>
              </w:rPr>
            </w:pPr>
            <w:r w:rsidRPr="00A63D0D">
              <w:rPr>
                <w:rFonts w:ascii="Arial" w:hAnsi="Arial" w:cs="Arial"/>
                <w:sz w:val="24"/>
                <w:szCs w:val="24"/>
              </w:rPr>
              <w:t>Wheels, plastic</w:t>
            </w:r>
          </w:p>
        </w:tc>
        <w:tc>
          <w:tcPr>
            <w:tcW w:w="1050" w:type="dxa"/>
          </w:tcPr>
          <w:p w:rsidR="00337799" w:rsidRPr="00A63D0D" w:rsidRDefault="00337799">
            <w:pPr>
              <w:rPr>
                <w:rFonts w:ascii="Arial" w:hAnsi="Arial" w:cs="Arial"/>
                <w:sz w:val="24"/>
                <w:szCs w:val="24"/>
              </w:rPr>
            </w:pPr>
            <w:r w:rsidRPr="00A63D0D">
              <w:rPr>
                <w:rFonts w:ascii="Arial" w:hAnsi="Arial" w:cs="Arial"/>
                <w:sz w:val="24"/>
                <w:szCs w:val="24"/>
              </w:rPr>
              <w:t>7.00</w:t>
            </w:r>
          </w:p>
        </w:tc>
        <w:tc>
          <w:tcPr>
            <w:tcW w:w="3375" w:type="dxa"/>
          </w:tcPr>
          <w:p w:rsidR="00337799" w:rsidRPr="00A63D0D" w:rsidRDefault="00337799">
            <w:pPr>
              <w:rPr>
                <w:rFonts w:ascii="Arial" w:hAnsi="Arial" w:cs="Arial"/>
                <w:sz w:val="24"/>
                <w:szCs w:val="24"/>
              </w:rPr>
            </w:pPr>
          </w:p>
        </w:tc>
      </w:tr>
      <w:tr w:rsidR="00337799" w:rsidRPr="00A63D0D" w:rsidTr="00A63D0D">
        <w:tblPrEx>
          <w:tblCellMar>
            <w:top w:w="0" w:type="dxa"/>
            <w:bottom w:w="0" w:type="dxa"/>
          </w:tblCellMar>
        </w:tblPrEx>
        <w:trPr>
          <w:trHeight w:val="510"/>
        </w:trPr>
        <w:tc>
          <w:tcPr>
            <w:tcW w:w="5190" w:type="dxa"/>
          </w:tcPr>
          <w:p w:rsidR="00337799" w:rsidRPr="00A63D0D" w:rsidRDefault="00337799">
            <w:pPr>
              <w:rPr>
                <w:rFonts w:ascii="Arial" w:hAnsi="Arial" w:cs="Arial"/>
                <w:sz w:val="24"/>
                <w:szCs w:val="24"/>
              </w:rPr>
            </w:pPr>
            <w:r w:rsidRPr="00A63D0D">
              <w:rPr>
                <w:rFonts w:ascii="Arial" w:hAnsi="Arial" w:cs="Arial"/>
                <w:sz w:val="24"/>
                <w:szCs w:val="24"/>
              </w:rPr>
              <w:t>Direct labor ($15/hour)</w:t>
            </w:r>
          </w:p>
        </w:tc>
        <w:tc>
          <w:tcPr>
            <w:tcW w:w="1050" w:type="dxa"/>
          </w:tcPr>
          <w:p w:rsidR="00337799" w:rsidRPr="00A63D0D" w:rsidRDefault="00337799">
            <w:pPr>
              <w:rPr>
                <w:rFonts w:ascii="Arial" w:hAnsi="Arial" w:cs="Arial"/>
                <w:sz w:val="24"/>
                <w:szCs w:val="24"/>
              </w:rPr>
            </w:pPr>
            <w:r w:rsidRPr="00A63D0D">
              <w:rPr>
                <w:rFonts w:ascii="Arial" w:hAnsi="Arial" w:cs="Arial"/>
                <w:sz w:val="24"/>
                <w:szCs w:val="24"/>
              </w:rPr>
              <w:t>7.50</w:t>
            </w:r>
          </w:p>
        </w:tc>
        <w:tc>
          <w:tcPr>
            <w:tcW w:w="3375" w:type="dxa"/>
          </w:tcPr>
          <w:p w:rsidR="00337799" w:rsidRPr="00A63D0D" w:rsidRDefault="00337799">
            <w:pPr>
              <w:rPr>
                <w:rFonts w:ascii="Arial" w:hAnsi="Arial" w:cs="Arial"/>
                <w:sz w:val="24"/>
                <w:szCs w:val="24"/>
              </w:rPr>
            </w:pPr>
          </w:p>
        </w:tc>
      </w:tr>
      <w:tr w:rsidR="00337799" w:rsidRPr="00A63D0D" w:rsidTr="00A63D0D">
        <w:tblPrEx>
          <w:tblCellMar>
            <w:top w:w="0" w:type="dxa"/>
            <w:bottom w:w="0" w:type="dxa"/>
          </w:tblCellMar>
        </w:tblPrEx>
        <w:trPr>
          <w:trHeight w:val="300"/>
        </w:trPr>
        <w:tc>
          <w:tcPr>
            <w:tcW w:w="5190" w:type="dxa"/>
          </w:tcPr>
          <w:p w:rsidR="00337799" w:rsidRPr="00A63D0D" w:rsidRDefault="00337799">
            <w:pPr>
              <w:rPr>
                <w:rFonts w:ascii="Arial" w:hAnsi="Arial" w:cs="Arial"/>
                <w:sz w:val="24"/>
                <w:szCs w:val="24"/>
              </w:rPr>
            </w:pPr>
            <w:r w:rsidRPr="00A63D0D">
              <w:rPr>
                <w:rFonts w:ascii="Arial" w:hAnsi="Arial" w:cs="Arial"/>
                <w:sz w:val="24"/>
                <w:szCs w:val="24"/>
              </w:rPr>
              <w:t>Manufacturing overhead</w:t>
            </w:r>
          </w:p>
        </w:tc>
        <w:tc>
          <w:tcPr>
            <w:tcW w:w="1050" w:type="dxa"/>
          </w:tcPr>
          <w:p w:rsidR="00337799" w:rsidRPr="00A63D0D" w:rsidRDefault="00337799">
            <w:pPr>
              <w:rPr>
                <w:rFonts w:ascii="Arial" w:hAnsi="Arial" w:cs="Arial"/>
                <w:sz w:val="24"/>
                <w:szCs w:val="24"/>
              </w:rPr>
            </w:pPr>
            <w:r w:rsidRPr="00A63D0D">
              <w:rPr>
                <w:rFonts w:ascii="Arial" w:hAnsi="Arial" w:cs="Arial"/>
                <w:sz w:val="24"/>
                <w:szCs w:val="24"/>
              </w:rPr>
              <w:t>5.00</w:t>
            </w:r>
          </w:p>
        </w:tc>
        <w:tc>
          <w:tcPr>
            <w:tcW w:w="3375" w:type="dxa"/>
          </w:tcPr>
          <w:p w:rsidR="00337799" w:rsidRPr="00A63D0D" w:rsidRDefault="00337799">
            <w:pPr>
              <w:rPr>
                <w:rFonts w:ascii="Arial" w:hAnsi="Arial" w:cs="Arial"/>
                <w:sz w:val="24"/>
                <w:szCs w:val="24"/>
              </w:rPr>
            </w:pPr>
          </w:p>
        </w:tc>
      </w:tr>
      <w:tr w:rsidR="00337799" w:rsidRPr="00A63D0D" w:rsidTr="00A63D0D">
        <w:tblPrEx>
          <w:tblCellMar>
            <w:top w:w="0" w:type="dxa"/>
            <w:bottom w:w="0" w:type="dxa"/>
          </w:tblCellMar>
        </w:tblPrEx>
        <w:trPr>
          <w:trHeight w:val="495"/>
        </w:trPr>
        <w:tc>
          <w:tcPr>
            <w:tcW w:w="5190" w:type="dxa"/>
          </w:tcPr>
          <w:p w:rsidR="00337799" w:rsidRPr="00A63D0D" w:rsidRDefault="00337799">
            <w:pPr>
              <w:rPr>
                <w:rFonts w:ascii="Arial" w:hAnsi="Arial" w:cs="Arial"/>
                <w:sz w:val="24"/>
                <w:szCs w:val="24"/>
              </w:rPr>
            </w:pPr>
            <w:r w:rsidRPr="00A63D0D">
              <w:rPr>
                <w:rFonts w:ascii="Arial" w:hAnsi="Arial" w:cs="Arial"/>
                <w:sz w:val="24"/>
                <w:szCs w:val="24"/>
              </w:rPr>
              <w:t>Selling and administrative cost</w:t>
            </w:r>
          </w:p>
        </w:tc>
        <w:tc>
          <w:tcPr>
            <w:tcW w:w="1050" w:type="dxa"/>
          </w:tcPr>
          <w:p w:rsidR="00337799" w:rsidRPr="00A63D0D" w:rsidRDefault="00337799">
            <w:pPr>
              <w:rPr>
                <w:rFonts w:ascii="Arial" w:hAnsi="Arial" w:cs="Arial"/>
                <w:sz w:val="24"/>
                <w:szCs w:val="24"/>
              </w:rPr>
            </w:pPr>
            <w:r w:rsidRPr="00A63D0D">
              <w:rPr>
                <w:rFonts w:ascii="Arial" w:hAnsi="Arial" w:cs="Arial"/>
                <w:sz w:val="24"/>
                <w:szCs w:val="24"/>
              </w:rPr>
              <w:t>9.00*</w:t>
            </w:r>
          </w:p>
        </w:tc>
        <w:tc>
          <w:tcPr>
            <w:tcW w:w="3375" w:type="dxa"/>
          </w:tcPr>
          <w:p w:rsidR="00337799" w:rsidRPr="00A63D0D" w:rsidRDefault="00337799">
            <w:pPr>
              <w:rPr>
                <w:rFonts w:ascii="Arial" w:hAnsi="Arial" w:cs="Arial"/>
                <w:sz w:val="24"/>
                <w:szCs w:val="24"/>
              </w:rPr>
            </w:pPr>
            <w:r w:rsidRPr="00A63D0D">
              <w:rPr>
                <w:rFonts w:ascii="Arial" w:hAnsi="Arial" w:cs="Arial"/>
                <w:sz w:val="24"/>
                <w:szCs w:val="24"/>
              </w:rPr>
              <w:t>34.00</w:t>
            </w:r>
          </w:p>
        </w:tc>
      </w:tr>
      <w:tr w:rsidR="00337799" w:rsidRPr="00A63D0D" w:rsidTr="00A63D0D">
        <w:tblPrEx>
          <w:tblCellMar>
            <w:top w:w="0" w:type="dxa"/>
            <w:bottom w:w="0" w:type="dxa"/>
          </w:tblCellMar>
        </w:tblPrEx>
        <w:trPr>
          <w:trHeight w:val="480"/>
        </w:trPr>
        <w:tc>
          <w:tcPr>
            <w:tcW w:w="5190" w:type="dxa"/>
          </w:tcPr>
          <w:p w:rsidR="00337799" w:rsidRPr="00A63D0D" w:rsidRDefault="00337799">
            <w:pPr>
              <w:rPr>
                <w:rFonts w:ascii="Arial" w:hAnsi="Arial" w:cs="Arial"/>
                <w:sz w:val="24"/>
                <w:szCs w:val="24"/>
              </w:rPr>
            </w:pPr>
            <w:r w:rsidRPr="00A63D0D">
              <w:rPr>
                <w:rFonts w:ascii="Arial" w:hAnsi="Arial" w:cs="Arial"/>
                <w:sz w:val="24"/>
                <w:szCs w:val="24"/>
              </w:rPr>
              <w:t>Profit per skateboard</w:t>
            </w:r>
          </w:p>
        </w:tc>
        <w:tc>
          <w:tcPr>
            <w:tcW w:w="1050" w:type="dxa"/>
          </w:tcPr>
          <w:p w:rsidR="00337799" w:rsidRPr="00A63D0D" w:rsidRDefault="00337799">
            <w:pPr>
              <w:rPr>
                <w:rFonts w:ascii="Arial" w:hAnsi="Arial" w:cs="Arial"/>
                <w:sz w:val="24"/>
                <w:szCs w:val="24"/>
              </w:rPr>
            </w:pPr>
          </w:p>
        </w:tc>
        <w:tc>
          <w:tcPr>
            <w:tcW w:w="3375" w:type="dxa"/>
          </w:tcPr>
          <w:p w:rsidR="00337799" w:rsidRPr="00A63D0D" w:rsidRDefault="00337799">
            <w:pPr>
              <w:rPr>
                <w:rFonts w:ascii="Arial" w:hAnsi="Arial" w:cs="Arial"/>
                <w:sz w:val="24"/>
                <w:szCs w:val="24"/>
              </w:rPr>
            </w:pPr>
            <w:r w:rsidRPr="00A63D0D">
              <w:rPr>
                <w:rFonts w:ascii="Arial" w:hAnsi="Arial" w:cs="Arial"/>
                <w:sz w:val="24"/>
                <w:szCs w:val="24"/>
              </w:rPr>
              <w:t>$11.00</w:t>
            </w:r>
          </w:p>
        </w:tc>
      </w:tr>
      <w:tr w:rsidR="00337799" w:rsidRPr="00A63D0D" w:rsidTr="00A63D0D">
        <w:tblPrEx>
          <w:tblCellMar>
            <w:top w:w="0" w:type="dxa"/>
            <w:bottom w:w="0" w:type="dxa"/>
          </w:tblCellMar>
        </w:tblPrEx>
        <w:trPr>
          <w:trHeight w:val="405"/>
        </w:trPr>
        <w:tc>
          <w:tcPr>
            <w:tcW w:w="5190" w:type="dxa"/>
          </w:tcPr>
          <w:p w:rsidR="00337799" w:rsidRPr="00A63D0D" w:rsidRDefault="00337799">
            <w:pPr>
              <w:rPr>
                <w:rFonts w:ascii="Arial" w:hAnsi="Arial" w:cs="Arial"/>
                <w:sz w:val="24"/>
                <w:szCs w:val="24"/>
              </w:rPr>
            </w:pPr>
            <w:r w:rsidRPr="00A63D0D">
              <w:rPr>
                <w:rFonts w:ascii="Arial" w:hAnsi="Arial" w:cs="Arial"/>
                <w:sz w:val="24"/>
                <w:szCs w:val="24"/>
              </w:rPr>
              <w:t>*Includes $6 per unit of fixed distribution costs.</w:t>
            </w:r>
          </w:p>
        </w:tc>
        <w:tc>
          <w:tcPr>
            <w:tcW w:w="1050" w:type="dxa"/>
          </w:tcPr>
          <w:p w:rsidR="00337799" w:rsidRPr="00A63D0D" w:rsidRDefault="00337799">
            <w:pPr>
              <w:rPr>
                <w:rFonts w:ascii="Arial" w:hAnsi="Arial" w:cs="Arial"/>
                <w:sz w:val="24"/>
                <w:szCs w:val="24"/>
              </w:rPr>
            </w:pPr>
          </w:p>
        </w:tc>
        <w:tc>
          <w:tcPr>
            <w:tcW w:w="3375" w:type="dxa"/>
          </w:tcPr>
          <w:p w:rsidR="00337799" w:rsidRPr="00A63D0D" w:rsidRDefault="00337799">
            <w:pPr>
              <w:rPr>
                <w:rFonts w:ascii="Arial" w:hAnsi="Arial" w:cs="Arial"/>
                <w:sz w:val="24"/>
                <w:szCs w:val="24"/>
              </w:rPr>
            </w:pPr>
          </w:p>
        </w:tc>
      </w:tr>
    </w:tbl>
    <w:p w:rsidR="00337799" w:rsidRPr="00A63D0D" w:rsidRDefault="00337799">
      <w:pPr>
        <w:rPr>
          <w:rFonts w:ascii="Arial" w:hAnsi="Arial" w:cs="Arial"/>
          <w:sz w:val="24"/>
          <w:szCs w:val="24"/>
        </w:rPr>
      </w:pPr>
    </w:p>
    <w:p w:rsidR="00337799" w:rsidRPr="00A63D0D" w:rsidRDefault="00337799" w:rsidP="00337799">
      <w:pPr>
        <w:ind w:left="720"/>
        <w:rPr>
          <w:rFonts w:ascii="Arial" w:hAnsi="Arial" w:cs="Arial"/>
          <w:sz w:val="24"/>
          <w:szCs w:val="24"/>
        </w:rPr>
      </w:pPr>
      <w:r w:rsidRPr="00A63D0D">
        <w:rPr>
          <w:rFonts w:ascii="Arial" w:hAnsi="Arial" w:cs="Arial"/>
          <w:sz w:val="24"/>
          <w:szCs w:val="24"/>
        </w:rPr>
        <w:t>In the plastics department, Avery uses direct labor hours as the application base for manufacturing overhead. Included in the manufacturing overhead for the current year is $50,000 factory-wide, fixed manufacturing overhead that has been allocated to the plastics department.</w:t>
      </w:r>
    </w:p>
    <w:p w:rsidR="00337799" w:rsidRPr="00A63D0D" w:rsidRDefault="00337799" w:rsidP="00337799">
      <w:pPr>
        <w:ind w:left="720"/>
        <w:rPr>
          <w:rFonts w:ascii="Arial" w:hAnsi="Arial" w:cs="Arial"/>
          <w:sz w:val="24"/>
          <w:szCs w:val="24"/>
        </w:rPr>
      </w:pPr>
      <w:r w:rsidRPr="00A63D0D">
        <w:rPr>
          <w:rFonts w:ascii="Arial" w:hAnsi="Arial" w:cs="Arial"/>
          <w:sz w:val="24"/>
          <w:szCs w:val="24"/>
        </w:rPr>
        <w:t>Required</w:t>
      </w:r>
    </w:p>
    <w:p w:rsidR="00337799" w:rsidRPr="00A63D0D" w:rsidRDefault="00A63D0D" w:rsidP="00A63D0D">
      <w:pPr>
        <w:pStyle w:val="ListParagraph"/>
        <w:numPr>
          <w:ilvl w:val="0"/>
          <w:numId w:val="1"/>
        </w:numPr>
        <w:rPr>
          <w:rFonts w:ascii="Arial" w:hAnsi="Arial" w:cs="Arial"/>
          <w:sz w:val="24"/>
          <w:szCs w:val="24"/>
        </w:rPr>
      </w:pPr>
      <w:r w:rsidRPr="00A63D0D">
        <w:rPr>
          <w:rFonts w:ascii="Arial" w:hAnsi="Arial" w:cs="Arial"/>
          <w:sz w:val="24"/>
          <w:szCs w:val="24"/>
        </w:rPr>
        <w:t>Define the problem faced by Avery based on the facts as presented.</w:t>
      </w:r>
    </w:p>
    <w:p w:rsidR="00A63D0D" w:rsidRPr="00A63D0D" w:rsidRDefault="00A63D0D" w:rsidP="00A63D0D">
      <w:pPr>
        <w:pStyle w:val="ListParagraph"/>
        <w:numPr>
          <w:ilvl w:val="0"/>
          <w:numId w:val="1"/>
        </w:numPr>
        <w:rPr>
          <w:rFonts w:ascii="Arial" w:hAnsi="Arial" w:cs="Arial"/>
          <w:sz w:val="24"/>
          <w:szCs w:val="24"/>
        </w:rPr>
      </w:pPr>
      <w:r w:rsidRPr="00A63D0D">
        <w:rPr>
          <w:rFonts w:ascii="Arial" w:hAnsi="Arial" w:cs="Arial"/>
          <w:sz w:val="24"/>
          <w:szCs w:val="24"/>
        </w:rPr>
        <w:t>What are the relevant objectives in this problem?</w:t>
      </w:r>
    </w:p>
    <w:p w:rsidR="00A63D0D" w:rsidRPr="00A63D0D" w:rsidRDefault="00A63D0D" w:rsidP="00A63D0D">
      <w:pPr>
        <w:pStyle w:val="ListParagraph"/>
        <w:numPr>
          <w:ilvl w:val="0"/>
          <w:numId w:val="1"/>
        </w:numPr>
        <w:rPr>
          <w:rFonts w:ascii="Arial" w:hAnsi="Arial" w:cs="Arial"/>
          <w:sz w:val="24"/>
          <w:szCs w:val="24"/>
        </w:rPr>
      </w:pPr>
      <w:r w:rsidRPr="00A63D0D">
        <w:rPr>
          <w:rFonts w:ascii="Arial" w:hAnsi="Arial" w:cs="Arial"/>
          <w:sz w:val="24"/>
          <w:szCs w:val="24"/>
        </w:rPr>
        <w:t>What options are available to Avery in solving the problem?</w:t>
      </w:r>
    </w:p>
    <w:p w:rsidR="00A63D0D" w:rsidRPr="00A63D0D" w:rsidRDefault="00A63D0D" w:rsidP="00A63D0D">
      <w:pPr>
        <w:pStyle w:val="ListParagraph"/>
        <w:numPr>
          <w:ilvl w:val="0"/>
          <w:numId w:val="1"/>
        </w:numPr>
        <w:rPr>
          <w:rFonts w:ascii="Arial" w:hAnsi="Arial" w:cs="Arial"/>
          <w:sz w:val="24"/>
          <w:szCs w:val="24"/>
        </w:rPr>
      </w:pPr>
      <w:r w:rsidRPr="00A63D0D">
        <w:rPr>
          <w:rFonts w:ascii="Arial" w:hAnsi="Arial" w:cs="Arial"/>
          <w:sz w:val="24"/>
          <w:szCs w:val="24"/>
        </w:rPr>
        <w:t>Rank the options in order of preference.</w:t>
      </w:r>
    </w:p>
    <w:p w:rsidR="00A63D0D" w:rsidRPr="00A63D0D" w:rsidRDefault="00A63D0D" w:rsidP="00A63D0D">
      <w:pPr>
        <w:pStyle w:val="ListParagraph"/>
        <w:numPr>
          <w:ilvl w:val="0"/>
          <w:numId w:val="1"/>
        </w:numPr>
        <w:rPr>
          <w:rFonts w:ascii="Arial" w:hAnsi="Arial" w:cs="Arial"/>
          <w:sz w:val="24"/>
          <w:szCs w:val="24"/>
        </w:rPr>
      </w:pPr>
      <w:r w:rsidRPr="00A63D0D">
        <w:rPr>
          <w:rFonts w:ascii="Arial" w:hAnsi="Arial" w:cs="Arial"/>
          <w:sz w:val="24"/>
          <w:szCs w:val="24"/>
        </w:rPr>
        <w:t>What qualitative factors should Avery consider in the decision?</w:t>
      </w:r>
    </w:p>
    <w:p w:rsidR="00A63D0D" w:rsidRPr="00A63D0D" w:rsidRDefault="00A63D0D" w:rsidP="00A63D0D">
      <w:pPr>
        <w:pStyle w:val="ListParagraph"/>
        <w:numPr>
          <w:ilvl w:val="0"/>
          <w:numId w:val="1"/>
        </w:numPr>
        <w:rPr>
          <w:rFonts w:ascii="Arial" w:hAnsi="Arial" w:cs="Arial"/>
          <w:sz w:val="24"/>
          <w:szCs w:val="24"/>
        </w:rPr>
      </w:pPr>
      <w:r w:rsidRPr="00A63D0D">
        <w:rPr>
          <w:rFonts w:ascii="Arial" w:hAnsi="Arial" w:cs="Arial"/>
          <w:sz w:val="24"/>
          <w:szCs w:val="24"/>
        </w:rPr>
        <w:t>Should Avery consider the potential liability that comes with selling skateboards? It has been shown that skateboards are responsible for 25 deaths per year and more than 500 serious accidents. Would that change your decision to make skateboards?</w:t>
      </w:r>
    </w:p>
    <w:sectPr w:rsidR="00A63D0D" w:rsidRPr="00A63D0D" w:rsidSect="00136B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72B19"/>
    <w:multiLevelType w:val="hybridMultilevel"/>
    <w:tmpl w:val="93DABBAC"/>
    <w:lvl w:ilvl="0" w:tplc="9CBE8E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0C9C"/>
    <w:rsid w:val="000A7EA1"/>
    <w:rsid w:val="00136B70"/>
    <w:rsid w:val="00206A60"/>
    <w:rsid w:val="00337799"/>
    <w:rsid w:val="00525CD1"/>
    <w:rsid w:val="00600C9C"/>
    <w:rsid w:val="00A63D0D"/>
    <w:rsid w:val="00D42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B7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D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2010-09-18T03:22:00Z</dcterms:created>
  <dcterms:modified xsi:type="dcterms:W3CDTF">2010-09-18T04:09:00Z</dcterms:modified>
</cp:coreProperties>
</file>