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D03" w:rsidRPr="00052DDE" w:rsidRDefault="002B3920" w:rsidP="002B3920">
      <w:pPr>
        <w:rPr>
          <w:rFonts w:ascii="Arial" w:hAnsi="Arial" w:cs="Arial"/>
          <w:sz w:val="24"/>
          <w:szCs w:val="24"/>
        </w:rPr>
      </w:pPr>
      <w:r w:rsidRPr="00052DDE">
        <w:rPr>
          <w:rFonts w:ascii="Arial" w:hAnsi="Arial" w:cs="Arial"/>
          <w:sz w:val="24"/>
          <w:szCs w:val="24"/>
        </w:rPr>
        <w:t xml:space="preserve">54. Adler industries </w:t>
      </w:r>
      <w:proofErr w:type="gramStart"/>
      <w:r w:rsidRPr="00052DDE">
        <w:rPr>
          <w:rFonts w:ascii="Arial" w:hAnsi="Arial" w:cs="Arial"/>
          <w:sz w:val="24"/>
          <w:szCs w:val="24"/>
        </w:rPr>
        <w:t>is</w:t>
      </w:r>
      <w:proofErr w:type="gramEnd"/>
      <w:r w:rsidRPr="00052DDE">
        <w:rPr>
          <w:rFonts w:ascii="Arial" w:hAnsi="Arial" w:cs="Arial"/>
          <w:sz w:val="24"/>
          <w:szCs w:val="24"/>
        </w:rPr>
        <w:t xml:space="preserve"> a vertically integrated firm with several divisions that operate as decentralized profit centers. Adler’s Systems Division manufactures scientific instruments and uses the products of two other Adler divisions. The Board Division manufactures printed circuit boards (PCBs). One PCB model is made exclusively for the Systems Division, using proprietary designs, whereas less complex models are sold to outside customers. The products of the Transistor Division are sold in a well-developed competitive</w:t>
      </w:r>
      <w:r w:rsidR="003D5810" w:rsidRPr="00052DDE">
        <w:rPr>
          <w:rFonts w:ascii="Arial" w:hAnsi="Arial" w:cs="Arial"/>
          <w:sz w:val="24"/>
          <w:szCs w:val="24"/>
        </w:rPr>
        <w:t xml:space="preserve"> market; however, one transistor model is also used by the Systems Division.</w:t>
      </w:r>
    </w:p>
    <w:p w:rsidR="003D5810" w:rsidRPr="00052DDE" w:rsidRDefault="003D5810" w:rsidP="003D5810">
      <w:pPr>
        <w:rPr>
          <w:rFonts w:ascii="Arial" w:hAnsi="Arial" w:cs="Arial"/>
          <w:sz w:val="24"/>
          <w:szCs w:val="24"/>
        </w:rPr>
      </w:pPr>
      <w:r w:rsidRPr="00052DDE">
        <w:rPr>
          <w:rFonts w:ascii="Arial" w:hAnsi="Arial" w:cs="Arial"/>
          <w:sz w:val="24"/>
          <w:szCs w:val="24"/>
        </w:rPr>
        <w:t>The costs per unit of the products used by the Systems Division are as follows: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50"/>
        <w:gridCol w:w="2835"/>
        <w:gridCol w:w="2610"/>
      </w:tblGrid>
      <w:tr w:rsidR="003D5810" w:rsidRPr="00052DDE" w:rsidTr="003D5810">
        <w:tblPrEx>
          <w:tblCellMar>
            <w:top w:w="0" w:type="dxa"/>
            <w:bottom w:w="0" w:type="dxa"/>
          </w:tblCellMar>
        </w:tblPrEx>
        <w:trPr>
          <w:trHeight w:val="540"/>
        </w:trPr>
        <w:tc>
          <w:tcPr>
            <w:tcW w:w="3750" w:type="dxa"/>
          </w:tcPr>
          <w:p w:rsidR="003D5810" w:rsidRPr="00052DDE" w:rsidRDefault="003D5810" w:rsidP="003D5810">
            <w:pPr>
              <w:rPr>
                <w:rFonts w:ascii="Arial" w:hAnsi="Arial" w:cs="Arial"/>
                <w:sz w:val="24"/>
                <w:szCs w:val="24"/>
              </w:rPr>
            </w:pP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PCB</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Transistor</w:t>
            </w:r>
          </w:p>
        </w:tc>
      </w:tr>
      <w:tr w:rsidR="003D5810" w:rsidRPr="00052DDE" w:rsidTr="003D5810">
        <w:tblPrEx>
          <w:tblCellMar>
            <w:top w:w="0" w:type="dxa"/>
            <w:bottom w:w="0" w:type="dxa"/>
          </w:tblCellMar>
        </w:tblPrEx>
        <w:trPr>
          <w:trHeight w:val="645"/>
        </w:trPr>
        <w:tc>
          <w:tcPr>
            <w:tcW w:w="3750" w:type="dxa"/>
          </w:tcPr>
          <w:p w:rsidR="003D5810" w:rsidRPr="00052DDE" w:rsidRDefault="003D5810" w:rsidP="003D5810">
            <w:pPr>
              <w:rPr>
                <w:rFonts w:ascii="Arial" w:hAnsi="Arial" w:cs="Arial"/>
                <w:sz w:val="24"/>
                <w:szCs w:val="24"/>
              </w:rPr>
            </w:pPr>
            <w:r w:rsidRPr="00052DDE">
              <w:rPr>
                <w:rFonts w:ascii="Arial" w:hAnsi="Arial" w:cs="Arial"/>
                <w:sz w:val="24"/>
                <w:szCs w:val="24"/>
              </w:rPr>
              <w:t>Direct materials</w:t>
            </w: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$2.50</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$0.80</w:t>
            </w:r>
          </w:p>
        </w:tc>
      </w:tr>
      <w:tr w:rsidR="003D5810" w:rsidRPr="00052DDE" w:rsidTr="003D5810">
        <w:tblPrEx>
          <w:tblCellMar>
            <w:top w:w="0" w:type="dxa"/>
            <w:bottom w:w="0" w:type="dxa"/>
          </w:tblCellMar>
        </w:tblPrEx>
        <w:trPr>
          <w:trHeight w:val="660"/>
        </w:trPr>
        <w:tc>
          <w:tcPr>
            <w:tcW w:w="3750" w:type="dxa"/>
          </w:tcPr>
          <w:p w:rsidR="003D5810" w:rsidRPr="00052DDE" w:rsidRDefault="003D5810" w:rsidP="003D5810">
            <w:pPr>
              <w:rPr>
                <w:rFonts w:ascii="Arial" w:hAnsi="Arial" w:cs="Arial"/>
                <w:sz w:val="24"/>
                <w:szCs w:val="24"/>
              </w:rPr>
            </w:pPr>
            <w:r w:rsidRPr="00052DDE">
              <w:rPr>
                <w:rFonts w:ascii="Arial" w:hAnsi="Arial" w:cs="Arial"/>
                <w:sz w:val="24"/>
                <w:szCs w:val="24"/>
              </w:rPr>
              <w:t>Direct labor</w:t>
            </w: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4.50</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1.00</w:t>
            </w:r>
          </w:p>
        </w:tc>
      </w:tr>
      <w:tr w:rsidR="003D5810" w:rsidRPr="00052DDE" w:rsidTr="003D5810">
        <w:tblPrEx>
          <w:tblCellMar>
            <w:top w:w="0" w:type="dxa"/>
            <w:bottom w:w="0" w:type="dxa"/>
          </w:tblCellMar>
        </w:tblPrEx>
        <w:trPr>
          <w:trHeight w:val="495"/>
        </w:trPr>
        <w:tc>
          <w:tcPr>
            <w:tcW w:w="3750" w:type="dxa"/>
          </w:tcPr>
          <w:p w:rsidR="003D5810" w:rsidRPr="00052DDE" w:rsidRDefault="003D5810" w:rsidP="003D5810">
            <w:pPr>
              <w:rPr>
                <w:rFonts w:ascii="Arial" w:hAnsi="Arial" w:cs="Arial"/>
                <w:sz w:val="24"/>
                <w:szCs w:val="24"/>
              </w:rPr>
            </w:pPr>
            <w:r w:rsidRPr="00052DDE">
              <w:rPr>
                <w:rFonts w:ascii="Arial" w:hAnsi="Arial" w:cs="Arial"/>
                <w:sz w:val="24"/>
                <w:szCs w:val="24"/>
              </w:rPr>
              <w:t>Variable overhead</w:t>
            </w: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2.00</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0.50</w:t>
            </w:r>
          </w:p>
        </w:tc>
      </w:tr>
      <w:tr w:rsidR="003D5810" w:rsidRPr="00052DDE" w:rsidTr="003D5810">
        <w:tblPrEx>
          <w:tblCellMar>
            <w:top w:w="0" w:type="dxa"/>
            <w:bottom w:w="0" w:type="dxa"/>
          </w:tblCellMar>
        </w:tblPrEx>
        <w:trPr>
          <w:trHeight w:val="165"/>
        </w:trPr>
        <w:tc>
          <w:tcPr>
            <w:tcW w:w="3750" w:type="dxa"/>
          </w:tcPr>
          <w:p w:rsidR="003D5810" w:rsidRPr="00052DDE" w:rsidRDefault="003D5810" w:rsidP="003D5810">
            <w:pPr>
              <w:rPr>
                <w:rFonts w:ascii="Arial" w:hAnsi="Arial" w:cs="Arial"/>
                <w:sz w:val="24"/>
                <w:szCs w:val="24"/>
              </w:rPr>
            </w:pPr>
            <w:r w:rsidRPr="00052DDE">
              <w:rPr>
                <w:rFonts w:ascii="Arial" w:hAnsi="Arial" w:cs="Arial"/>
                <w:sz w:val="24"/>
                <w:szCs w:val="24"/>
              </w:rPr>
              <w:t>Fixed overhead</w:t>
            </w: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0.80</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0.75</w:t>
            </w:r>
          </w:p>
        </w:tc>
      </w:tr>
      <w:tr w:rsidR="003D5810" w:rsidRPr="00052DDE" w:rsidTr="003D5810">
        <w:tblPrEx>
          <w:tblCellMar>
            <w:top w:w="0" w:type="dxa"/>
            <w:bottom w:w="0" w:type="dxa"/>
          </w:tblCellMar>
        </w:tblPrEx>
        <w:trPr>
          <w:trHeight w:val="330"/>
        </w:trPr>
        <w:tc>
          <w:tcPr>
            <w:tcW w:w="3750" w:type="dxa"/>
          </w:tcPr>
          <w:p w:rsidR="003D5810" w:rsidRPr="00052DDE" w:rsidRDefault="003D5810" w:rsidP="003D5810">
            <w:pPr>
              <w:rPr>
                <w:rFonts w:ascii="Arial" w:hAnsi="Arial" w:cs="Arial"/>
                <w:sz w:val="24"/>
                <w:szCs w:val="24"/>
              </w:rPr>
            </w:pPr>
            <w:r w:rsidRPr="00052DDE">
              <w:rPr>
                <w:rFonts w:ascii="Arial" w:hAnsi="Arial" w:cs="Arial"/>
                <w:sz w:val="24"/>
                <w:szCs w:val="24"/>
              </w:rPr>
              <w:t>Total cost</w:t>
            </w:r>
          </w:p>
        </w:tc>
        <w:tc>
          <w:tcPr>
            <w:tcW w:w="2835" w:type="dxa"/>
          </w:tcPr>
          <w:p w:rsidR="003D5810" w:rsidRPr="00052DDE" w:rsidRDefault="003D5810" w:rsidP="003D5810">
            <w:pPr>
              <w:rPr>
                <w:rFonts w:ascii="Arial" w:hAnsi="Arial" w:cs="Arial"/>
                <w:sz w:val="24"/>
                <w:szCs w:val="24"/>
              </w:rPr>
            </w:pPr>
            <w:r w:rsidRPr="00052DDE">
              <w:rPr>
                <w:rFonts w:ascii="Arial" w:hAnsi="Arial" w:cs="Arial"/>
                <w:sz w:val="24"/>
                <w:szCs w:val="24"/>
              </w:rPr>
              <w:t>$9.80</w:t>
            </w:r>
          </w:p>
        </w:tc>
        <w:tc>
          <w:tcPr>
            <w:tcW w:w="2610" w:type="dxa"/>
          </w:tcPr>
          <w:p w:rsidR="003D5810" w:rsidRPr="00052DDE" w:rsidRDefault="003D5810" w:rsidP="003D5810">
            <w:pPr>
              <w:rPr>
                <w:rFonts w:ascii="Arial" w:hAnsi="Arial" w:cs="Arial"/>
                <w:sz w:val="24"/>
                <w:szCs w:val="24"/>
              </w:rPr>
            </w:pPr>
            <w:r w:rsidRPr="00052DDE">
              <w:rPr>
                <w:rFonts w:ascii="Arial" w:hAnsi="Arial" w:cs="Arial"/>
                <w:sz w:val="24"/>
                <w:szCs w:val="24"/>
              </w:rPr>
              <w:t>$3.05</w:t>
            </w:r>
          </w:p>
        </w:tc>
      </w:tr>
    </w:tbl>
    <w:p w:rsidR="003D5810" w:rsidRPr="00052DDE" w:rsidRDefault="003D5810" w:rsidP="003D5810">
      <w:pPr>
        <w:rPr>
          <w:rFonts w:ascii="Arial" w:hAnsi="Arial" w:cs="Arial"/>
          <w:sz w:val="24"/>
          <w:szCs w:val="24"/>
        </w:rPr>
      </w:pPr>
    </w:p>
    <w:p w:rsidR="003D5810" w:rsidRPr="00052DDE" w:rsidRDefault="003D5810" w:rsidP="003D5810">
      <w:pPr>
        <w:rPr>
          <w:rFonts w:ascii="Arial" w:hAnsi="Arial" w:cs="Arial"/>
          <w:sz w:val="24"/>
          <w:szCs w:val="24"/>
        </w:rPr>
      </w:pPr>
      <w:r w:rsidRPr="00052DDE">
        <w:rPr>
          <w:rFonts w:ascii="Arial" w:hAnsi="Arial" w:cs="Arial"/>
          <w:sz w:val="24"/>
          <w:szCs w:val="24"/>
        </w:rPr>
        <w:t xml:space="preserve">The Board Division sells it commercial products at all full cost plus a 25 percent markup and believes that the proprietary board made for the Systems Division would sell for $12.25 per unit on the open market. The market price of the transistor used by the </w:t>
      </w:r>
      <w:r w:rsidR="00052DDE" w:rsidRPr="00052DDE">
        <w:rPr>
          <w:rFonts w:ascii="Arial" w:hAnsi="Arial" w:cs="Arial"/>
          <w:sz w:val="24"/>
          <w:szCs w:val="24"/>
        </w:rPr>
        <w:t>Systems Division</w:t>
      </w:r>
      <w:r w:rsidRPr="00052DDE">
        <w:rPr>
          <w:rFonts w:ascii="Arial" w:hAnsi="Arial" w:cs="Arial"/>
          <w:sz w:val="24"/>
          <w:szCs w:val="24"/>
        </w:rPr>
        <w:t xml:space="preserve"> is $3.70 per unit.</w:t>
      </w:r>
    </w:p>
    <w:p w:rsidR="003D5810" w:rsidRPr="00052DDE" w:rsidRDefault="003D5810" w:rsidP="003D5810">
      <w:pPr>
        <w:rPr>
          <w:rFonts w:ascii="Arial" w:hAnsi="Arial" w:cs="Arial"/>
          <w:sz w:val="24"/>
          <w:szCs w:val="24"/>
        </w:rPr>
      </w:pPr>
    </w:p>
    <w:p w:rsidR="003D5810" w:rsidRPr="00052DDE" w:rsidRDefault="003D5810" w:rsidP="003D5810">
      <w:pPr>
        <w:rPr>
          <w:rFonts w:ascii="Arial" w:hAnsi="Arial" w:cs="Arial"/>
          <w:sz w:val="24"/>
          <w:szCs w:val="24"/>
        </w:rPr>
      </w:pPr>
      <w:r w:rsidRPr="00052DDE">
        <w:rPr>
          <w:rFonts w:ascii="Arial" w:hAnsi="Arial" w:cs="Arial"/>
          <w:sz w:val="24"/>
          <w:szCs w:val="24"/>
        </w:rPr>
        <w:t>Required</w:t>
      </w:r>
    </w:p>
    <w:p w:rsidR="003D5810" w:rsidRPr="00052DDE" w:rsidRDefault="003D5810" w:rsidP="003D5810">
      <w:pPr>
        <w:pStyle w:val="ListParagraph"/>
        <w:numPr>
          <w:ilvl w:val="0"/>
          <w:numId w:val="2"/>
        </w:numPr>
        <w:rPr>
          <w:rFonts w:ascii="Arial" w:hAnsi="Arial" w:cs="Arial"/>
          <w:sz w:val="24"/>
          <w:szCs w:val="24"/>
        </w:rPr>
      </w:pPr>
      <w:r w:rsidRPr="00052DDE">
        <w:rPr>
          <w:rFonts w:ascii="Arial" w:hAnsi="Arial" w:cs="Arial"/>
          <w:sz w:val="24"/>
          <w:szCs w:val="24"/>
        </w:rPr>
        <w:t>What would be the impact on the Transistor Division if the per unit transfer price from the Transistor Division to the Systems Division were the full cost of $3.05?</w:t>
      </w:r>
    </w:p>
    <w:p w:rsidR="00052DDE" w:rsidRPr="00052DDE" w:rsidRDefault="00052DDE" w:rsidP="00052DDE">
      <w:pPr>
        <w:pStyle w:val="ListParagraph"/>
        <w:numPr>
          <w:ilvl w:val="0"/>
          <w:numId w:val="2"/>
        </w:numPr>
        <w:spacing w:line="240" w:lineRule="auto"/>
        <w:ind w:left="360" w:firstLine="0"/>
        <w:rPr>
          <w:rFonts w:ascii="Arial" w:hAnsi="Arial" w:cs="Arial"/>
          <w:sz w:val="24"/>
          <w:szCs w:val="24"/>
        </w:rPr>
      </w:pPr>
      <w:r w:rsidRPr="00052DDE">
        <w:rPr>
          <w:rFonts w:ascii="Arial" w:hAnsi="Arial" w:cs="Arial"/>
          <w:sz w:val="24"/>
          <w:szCs w:val="24"/>
        </w:rPr>
        <w:t>Assume that the Systems Division is able to purchase a large quantity of transistors from an outside source at $2.90 per unit. The Transistor Division, having excess capacity, agrees to lower its transfer price to $2.90 per unit. Would this benefit the company as a whole?</w:t>
      </w:r>
    </w:p>
    <w:p w:rsidR="00052DDE" w:rsidRPr="00052DDE" w:rsidRDefault="00052DDE" w:rsidP="00052DDE">
      <w:pPr>
        <w:pStyle w:val="ListParagraph"/>
        <w:numPr>
          <w:ilvl w:val="0"/>
          <w:numId w:val="2"/>
        </w:numPr>
        <w:spacing w:line="240" w:lineRule="auto"/>
        <w:ind w:left="360" w:firstLine="0"/>
        <w:rPr>
          <w:rFonts w:ascii="Arial" w:hAnsi="Arial" w:cs="Arial"/>
          <w:sz w:val="24"/>
          <w:szCs w:val="24"/>
        </w:rPr>
      </w:pPr>
      <w:r w:rsidRPr="00052DDE">
        <w:rPr>
          <w:rFonts w:ascii="Arial" w:hAnsi="Arial" w:cs="Arial"/>
          <w:sz w:val="24"/>
          <w:szCs w:val="24"/>
        </w:rPr>
        <w:t>The Board and Systems Division have negotiated a transfer price of $11.00 per printed circuit board. What is the likely response from each division if this negotiated price is used?</w:t>
      </w:r>
    </w:p>
    <w:sectPr w:rsidR="00052DDE" w:rsidRPr="00052DDE" w:rsidSect="003819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9576CA"/>
    <w:multiLevelType w:val="hybridMultilevel"/>
    <w:tmpl w:val="B31E1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F51366"/>
    <w:multiLevelType w:val="hybridMultilevel"/>
    <w:tmpl w:val="764239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3920"/>
    <w:rsid w:val="00052DDE"/>
    <w:rsid w:val="000A7EA1"/>
    <w:rsid w:val="00206A60"/>
    <w:rsid w:val="002B3920"/>
    <w:rsid w:val="00381971"/>
    <w:rsid w:val="003D58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971"/>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81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2010-09-17T01:46:00Z</dcterms:created>
  <dcterms:modified xsi:type="dcterms:W3CDTF">2010-09-17T03:36:00Z</dcterms:modified>
</cp:coreProperties>
</file>