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49" w:rsidRDefault="00BD1149">
      <w:r>
        <w:rPr>
          <w:noProof/>
        </w:rPr>
      </w:r>
      <w:r w:rsidR="004527E0">
        <w:pict>
          <v:group id="_x0000_s1027" editas="orgchart" style="width:531pt;height:10in;mso-position-horizontal-relative:char;mso-position-vertical-relative:line" coordorigin="1815,5775" coordsize="22314,2880">
            <o:lock v:ext="edit" aspectratio="t"/>
            <o:diagram v:ext="edit" dgmstyle="0" dgmscalex="31191" dgmscaley="327675" dgmfontsize="5" constrainbounds="0,0,0,0" autolayout="f">
              <o:relationtable v:ext="edit">
                <o:rel v:ext="edit" idsrc="#_s1028" iddest="#_s1028"/>
                <o:rel v:ext="edit" idsrc="#_s1029" iddest="#_s1028" idcntr="#_s1032"/>
                <o:rel v:ext="edit" idsrc="#_s1030" iddest="#_s1028" idcntr="#_s1033"/>
                <o:rel v:ext="edit" idsrc="#_s1031" iddest="#_s1028" idcntr="#_s1034"/>
                <o:rel v:ext="edit" idsrc="#_s1035" iddest="#_s1028" idcntr="#_s1036"/>
                <o:rel v:ext="edit" idsrc="#_s1037" iddest="#_s1029" idcntr="#_s1038"/>
                <o:rel v:ext="edit" idsrc="#_s1039" iddest="#_s1029" idcntr="#_s1040"/>
                <o:rel v:ext="edit" idsrc="#_s1041" iddest="#_s1029" idcntr="#_s1042"/>
                <o:rel v:ext="edit" idsrc="#_s1045" iddest="#_s1030" idcntr="#_s1046"/>
                <o:rel v:ext="edit" idsrc="#_s1051" iddest="#_s1031" idcntr="#_s1052"/>
                <o:rel v:ext="edit" idsrc="#_s1053" iddest="#_s1031" idcntr="#_s1054"/>
                <o:rel v:ext="edit" idsrc="#_s1055" iddest="#_s1035" idcntr="#_s105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15;top:5775;width:22314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6" o:spid="_x0000_s1056" type="#_x0000_t34" style="position:absolute;left:22065;top:7017;width:1190;height:779;rotation:270" o:connectortype="elbow" adj="697,-849695,-36870" strokeweight="2.25pt"/>
            <v:shape id="_s1054" o:spid="_x0000_s1054" type="#_x0000_t34" style="position:absolute;left:18674;top:5760;width:151;height:2256;rotation:270;flip:x" o:connectortype="elbow" adj="5150,148425,-297880" strokeweight="2.25pt"/>
            <v:shape id="_s1052" o:spid="_x0000_s1052" type="#_x0000_t34" style="position:absolute;left:15911;top:5253;width:151;height:3270;rotation:270" o:connectortype="elbow" adj="5150,-102447,-222637" strokeweight="2.25pt"/>
            <v:shape id="_s1046" o:spid="_x0000_s1046" type="#_x0000_t34" style="position:absolute;left:10752;top:7173;width:1190;height:467;rotation:270" o:connectortype="elbow" adj="697,-1417724,-21190" strokeweight="2.25pt"/>
            <v:shape id="_s1042" o:spid="_x0000_s1042" type="#_x0000_t34" style="position:absolute;left:6388;top:5262;width:153;height:3254;rotation:270;flip:x" o:connectortype="elbow" adj="5212,108314,-133190" strokeweight="2.25pt"/>
            <v:shape id="_s1040" o:spid="_x0000_s1040" type="#_x0000_t34" style="position:absolute;left:4689;top:6961;width:846;height:547;rotation:270;flip:x" o:connectortype="elbow" adj="943,944000,-17798" strokeweight="2.25pt"/>
            <v:shape id="_s1038" o:spid="_x0000_s1038" type="#_x0000_t34" style="position:absolute;left:4063;top:6191;width:153;height:1395;rotation:270" o:connectortype="elbow" adj="5212,-252675,-73457" strokeweight="2.25pt"/>
            <v:shape id="_s1036" o:spid="_x0000_s1036" type="#_x0000_t34" style="position:absolute;left:18222;top:2225;width:192;height:8368;rotation:270;flip:x" o:connectortype="elbow" adj="4330,32500,-236325" strokeweight="2.25pt"/>
            <v:shape id="_s1034" o:spid="_x0000_s1034" type="#_x0000_t34" style="position:absolute;left:15782;top:4665;width:192;height:3487;rotation:270;flip:x" o:connectortype="elbow" adj="4330,78000,-190864" strokeweight="2.25pt"/>
            <v:shape id="_s1033" o:spid="_x0000_s1033" type="#_x0000_t34" style="position:absolute;left:12836;top:5207;width:192;height:2404;rotation:270" o:connectortype="elbow" adj="4320,-113151,-135696" strokeweight="2.25pt"/>
            <v:shape id="_s1032" o:spid="_x0000_s1032" type="#_x0000_t34" style="position:absolute;left:9391;top:1875;width:653;height:9298;rotation:270" o:connectortype="elbow" adj="1270,-38964,-21064" strokeweight="2.25pt"/>
            <v:roundrect id="_s1028" o:spid="_x0000_s1028" style="position:absolute;left:10648;top:5929;width:6973;height:384;v-text-anchor:middle" arcsize="10923f" o:dgmlayout="0" o:dgmnodekind="1" fillcolor="black">
              <v:textbox inset="0,0,0,0">
                <w:txbxContent>
                  <w:p w:rsidR="00BD1149" w:rsidRPr="004527E0" w:rsidRDefault="00BD1149" w:rsidP="00BD1149">
                    <w:pPr>
                      <w:jc w:val="center"/>
                      <w:rPr>
                        <w:b/>
                        <w:sz w:val="50"/>
                        <w:szCs w:val="40"/>
                      </w:rPr>
                    </w:pPr>
                    <w:r w:rsidRPr="004527E0">
                      <w:rPr>
                        <w:b/>
                        <w:sz w:val="50"/>
                        <w:szCs w:val="40"/>
                      </w:rPr>
                      <w:t>Financial Ratios</w:t>
                    </w:r>
                  </w:p>
                </w:txbxContent>
              </v:textbox>
            </v:roundrect>
            <v:roundrect id="_s1029" o:spid="_x0000_s1029" style="position:absolute;left:2280;top:6505;width:5114;height:307;v-text-anchor:middle" arcsize="10923f" o:dgmlayout="0" o:dgmnodekind="0" fillcolor="#bbe0e3">
              <v:textbox inset="0,0,0,0">
                <w:txbxContent>
                  <w:p w:rsidR="00BD1149" w:rsidRPr="004527E0" w:rsidRDefault="00BD11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Short-</w:t>
                    </w:r>
                    <w:proofErr w:type="gramStart"/>
                    <w:r w:rsidRPr="004527E0">
                      <w:rPr>
                        <w:b/>
                        <w:sz w:val="35"/>
                        <w:szCs w:val="28"/>
                      </w:rPr>
                      <w:t>term  Liquidity</w:t>
                    </w:r>
                    <w:proofErr w:type="gramEnd"/>
                  </w:p>
                </w:txbxContent>
              </v:textbox>
            </v:roundrect>
            <v:roundrect id="_s1030" o:spid="_x0000_s1030" style="position:absolute;left:9253;top:6505;width:4951;height:307;v-text-anchor:middle" arcsize="10923f" o:dgmlayout="0" o:dgmnodekind="0" fillcolor="#fc9">
              <v:textbox inset="0,0,0,0">
                <w:txbxContent>
                  <w:p w:rsidR="00BD1149" w:rsidRPr="004527E0" w:rsidRDefault="00BD11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Profitability</w:t>
                    </w:r>
                  </w:p>
                </w:txbxContent>
              </v:textbox>
            </v:roundrect>
            <v:roundrect id="_s1031" o:spid="_x0000_s1031" style="position:absolute;left:15296;top:6505;width:4649;height:307;v-text-anchor:middle" arcsize="10923f" o:dgmlayout="0" o:dgmnodekind="0" fillcolor="#0cf">
              <v:textbox inset="0,0,0,0">
                <w:txbxContent>
                  <w:p w:rsidR="00BD1149" w:rsidRPr="004527E0" w:rsidRDefault="00BD11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Long-term Solvency</w:t>
                    </w:r>
                  </w:p>
                </w:txbxContent>
              </v:textbox>
            </v:roundrect>
            <v:roundrect id="_s1035" o:spid="_x0000_s1035" style="position:absolute;left:20875;top:6505;width:3254;height:307;v-text-anchor:middle" arcsize="10923f" o:dgmlayout="0" o:dgmnodekind="0" fillcolor="yellow">
              <v:textbox inset="0,0,0,0">
                <w:txbxContent>
                  <w:p w:rsidR="00BD1149" w:rsidRPr="004527E0" w:rsidRDefault="00BD11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Market Value Ratios</w:t>
                    </w:r>
                  </w:p>
                </w:txbxContent>
              </v:textbox>
            </v:roundrect>
            <v:roundrect id="_s1037" o:spid="_x0000_s1037" style="position:absolute;left:1815;top:6965;width:3255;height:619;v-text-anchor:middle" arcsize="10923f" o:dgmlayout="2" o:dgmnodekind="0" fillcolor="#bbe0e3">
              <v:textbox inset="0,0,0,0">
                <w:txbxContent>
                  <w:p w:rsidR="00BD11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Current</w:t>
                    </w:r>
                  </w:p>
                  <w:p w:rsidR="00112349" w:rsidRPr="004527E0" w:rsidRDefault="00112349" w:rsidP="00BD1149">
                    <w:pPr>
                      <w:jc w:val="center"/>
                      <w:rPr>
                        <w:sz w:val="35"/>
                        <w:szCs w:val="28"/>
                      </w:rPr>
                    </w:pP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&amp;</w:t>
                    </w: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Quick</w:t>
                    </w: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Ratios</w:t>
                    </w:r>
                  </w:p>
                </w:txbxContent>
              </v:textbox>
            </v:roundrect>
            <v:roundrect id="_s1039" o:spid="_x0000_s1039" style="position:absolute;left:2626;top:7658;width:5518;height:332;v-text-anchor:middle" arcsize="10923f" o:dgmlayout="2" o:dgmnodekind="0" fillcolor="#bbe0e3">
              <v:textbox inset="0,0,0,0">
                <w:txbxContent>
                  <w:p w:rsidR="006C4D39" w:rsidRPr="004527E0" w:rsidRDefault="006C4D3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 xml:space="preserve">Cash </w:t>
                    </w:r>
                  </w:p>
                  <w:p w:rsidR="006C4D39" w:rsidRPr="004527E0" w:rsidRDefault="006C4D3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Flow</w:t>
                    </w:r>
                  </w:p>
                  <w:p w:rsidR="006C4D39" w:rsidRPr="004527E0" w:rsidRDefault="006C4D3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Ratios</w:t>
                    </w:r>
                  </w:p>
                </w:txbxContent>
              </v:textbox>
            </v:roundrect>
            <v:roundrect id="_s1041" o:spid="_x0000_s1041" style="position:absolute;left:5998;top:6965;width:4186;height:619;v-text-anchor:middle" arcsize="10923f" o:dgmlayout="2" o:dgmnodekind="0" fillcolor="#bbe0e3">
              <v:textbox inset="0,0,0,0">
                <w:txbxContent>
                  <w:p w:rsidR="00BD11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  <w:u w:val="single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  <w:u w:val="single"/>
                      </w:rPr>
                      <w:t>Days</w:t>
                    </w:r>
                    <w:r w:rsidR="00AA6813" w:rsidRPr="004527E0">
                      <w:rPr>
                        <w:b/>
                        <w:sz w:val="35"/>
                        <w:szCs w:val="28"/>
                        <w:u w:val="single"/>
                      </w:rPr>
                      <w:t>:</w:t>
                    </w: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Receivables</w:t>
                    </w: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Inventory</w:t>
                    </w: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112349" w:rsidRPr="004527E0" w:rsidRDefault="00112349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Payables</w:t>
                    </w:r>
                  </w:p>
                </w:txbxContent>
              </v:textbox>
            </v:roundrect>
            <v:roundrect id="_s1045" o:spid="_x0000_s1045" style="position:absolute;left:8623;top:7611;width:4946;height:1008;v-text-anchor:middle" arcsize="10923f" o:dgmlayout="2" o:dgmnodekind="0" fillcolor="#fc9">
              <v:textbox inset="0,0,0,0">
                <w:txbxContent>
                  <w:p w:rsidR="00AA6813" w:rsidRDefault="00AA6813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  <w:u w:val="single"/>
                      </w:rPr>
                      <w:t xml:space="preserve">% </w:t>
                    </w:r>
                    <w:proofErr w:type="gramStart"/>
                    <w:r w:rsidRPr="004527E0">
                      <w:rPr>
                        <w:b/>
                        <w:sz w:val="35"/>
                        <w:szCs w:val="28"/>
                        <w:u w:val="single"/>
                      </w:rPr>
                      <w:t>of  Sales</w:t>
                    </w:r>
                    <w:proofErr w:type="gramEnd"/>
                    <w:r w:rsidRPr="004527E0">
                      <w:rPr>
                        <w:b/>
                        <w:sz w:val="35"/>
                        <w:szCs w:val="28"/>
                      </w:rPr>
                      <w:t>:</w:t>
                    </w:r>
                  </w:p>
                  <w:p w:rsidR="008A149F" w:rsidRDefault="008A149F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8A149F" w:rsidRDefault="008A149F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>
                      <w:rPr>
                        <w:b/>
                        <w:sz w:val="35"/>
                        <w:szCs w:val="28"/>
                      </w:rPr>
                      <w:t>Gross Profit</w:t>
                    </w:r>
                  </w:p>
                  <w:p w:rsidR="008A149F" w:rsidRDefault="008A149F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>
                      <w:rPr>
                        <w:b/>
                        <w:sz w:val="35"/>
                        <w:szCs w:val="28"/>
                      </w:rPr>
                      <w:t>EBIT</w:t>
                    </w:r>
                  </w:p>
                  <w:p w:rsidR="008A149F" w:rsidRPr="004527E0" w:rsidRDefault="008A149F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>
                      <w:rPr>
                        <w:b/>
                        <w:sz w:val="35"/>
                        <w:szCs w:val="28"/>
                      </w:rPr>
                      <w:t>Net Income</w:t>
                    </w:r>
                  </w:p>
                  <w:p w:rsidR="00AA6813" w:rsidRPr="004527E0" w:rsidRDefault="00AA6813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AA6813" w:rsidRPr="004527E0" w:rsidRDefault="00AA6813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Operating Expenses</w:t>
                    </w:r>
                  </w:p>
                  <w:p w:rsidR="00AA6813" w:rsidRPr="004527E0" w:rsidRDefault="00AA6813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AA6813" w:rsidRPr="004527E0" w:rsidRDefault="00AA6813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SG&amp;A Expenses**</w:t>
                    </w:r>
                  </w:p>
                </w:txbxContent>
              </v:textbox>
            </v:roundrect>
            <v:roundrect id="_s1051" o:spid="_x0000_s1051" style="position:absolute;left:12026;top:6963;width:4650;height:540;v-text-anchor:middle" arcsize="10923f" o:dgmlayout="2" o:dgmnodekind="0" fillcolor="#0cf">
              <v:textbox inset="0,0,0,0">
                <w:txbxContent>
                  <w:p w:rsidR="00BD1149" w:rsidRPr="004527E0" w:rsidRDefault="00AA6813" w:rsidP="00BD1149">
                    <w:pPr>
                      <w:jc w:val="center"/>
                      <w:rPr>
                        <w:b/>
                        <w:sz w:val="35"/>
                        <w:szCs w:val="28"/>
                        <w:u w:val="single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 xml:space="preserve">Interest </w:t>
                    </w:r>
                    <w:r w:rsidRPr="004527E0">
                      <w:rPr>
                        <w:b/>
                        <w:sz w:val="35"/>
                        <w:szCs w:val="28"/>
                        <w:u w:val="single"/>
                      </w:rPr>
                      <w:t>Coverage</w:t>
                    </w:r>
                  </w:p>
                  <w:p w:rsidR="00862FBD" w:rsidRPr="004527E0" w:rsidRDefault="00862FBD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862FBD" w:rsidRPr="004527E0" w:rsidRDefault="00862FBD" w:rsidP="00BD1149">
                    <w:pPr>
                      <w:jc w:val="center"/>
                      <w:rPr>
                        <w:b/>
                        <w:sz w:val="35"/>
                        <w:szCs w:val="28"/>
                        <w:u w:val="single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  <w:u w:val="single"/>
                      </w:rPr>
                      <w:t>EBIT*</w:t>
                    </w:r>
                  </w:p>
                  <w:p w:rsidR="00AA6813" w:rsidRPr="004527E0" w:rsidRDefault="00AA6813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Interest Expense</w:t>
                    </w:r>
                  </w:p>
                  <w:p w:rsidR="00AA6813" w:rsidRPr="004527E0" w:rsidRDefault="00AA6813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</w:txbxContent>
              </v:textbox>
            </v:roundrect>
            <v:roundrect id="_s1053" o:spid="_x0000_s1053" style="position:absolute;left:17321;top:6963;width:5114;height:540;v-text-anchor:middle" arcsize="10923f" o:dgmlayout="2" o:dgmnodekind="0" fillcolor="#0cf">
              <v:textbox inset="0,0,0,0">
                <w:txbxContent>
                  <w:p w:rsidR="00862FBD" w:rsidRPr="004527E0" w:rsidRDefault="00862FBD" w:rsidP="00862FBD">
                    <w:pPr>
                      <w:jc w:val="center"/>
                      <w:rPr>
                        <w:b/>
                        <w:sz w:val="35"/>
                        <w:szCs w:val="28"/>
                        <w:u w:val="single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 xml:space="preserve">Return on </w:t>
                    </w:r>
                    <w:r w:rsidRPr="004527E0">
                      <w:rPr>
                        <w:b/>
                        <w:sz w:val="35"/>
                        <w:szCs w:val="28"/>
                        <w:u w:val="single"/>
                      </w:rPr>
                      <w:t>Equity</w:t>
                    </w:r>
                  </w:p>
                  <w:p w:rsidR="00862FBD" w:rsidRPr="004527E0" w:rsidRDefault="00862FBD" w:rsidP="00862FBD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862FBD" w:rsidRPr="004527E0" w:rsidRDefault="00862FBD" w:rsidP="00862FBD">
                    <w:pPr>
                      <w:jc w:val="center"/>
                      <w:rPr>
                        <w:b/>
                        <w:sz w:val="35"/>
                        <w:szCs w:val="28"/>
                        <w:u w:val="single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  <w:u w:val="single"/>
                      </w:rPr>
                      <w:t>Net Income</w:t>
                    </w:r>
                  </w:p>
                  <w:p w:rsidR="00862FBD" w:rsidRPr="004527E0" w:rsidRDefault="00862FBD" w:rsidP="00862FBD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Common Equity</w:t>
                    </w:r>
                  </w:p>
                  <w:p w:rsidR="00BD1149" w:rsidRPr="004527E0" w:rsidRDefault="00BD1149" w:rsidP="00862FBD">
                    <w:pPr>
                      <w:rPr>
                        <w:sz w:val="30"/>
                      </w:rPr>
                    </w:pPr>
                  </w:p>
                </w:txbxContent>
              </v:textbox>
            </v:roundrect>
            <v:roundrect id="_s1055" o:spid="_x0000_s1055" style="position:absolute;left:19212;top:7575;width:4486;height:612;v-text-anchor:middle" arcsize="10923f" o:dgmlayout="2" o:dgmnodekind="0" fillcolor="yellow">
              <v:textbox inset="0,0,0,0">
                <w:txbxContent>
                  <w:p w:rsidR="00BD1149" w:rsidRPr="00772637" w:rsidRDefault="00862FBD" w:rsidP="00BD1149">
                    <w:pPr>
                      <w:jc w:val="center"/>
                      <w:rPr>
                        <w:b/>
                        <w:sz w:val="35"/>
                        <w:szCs w:val="28"/>
                        <w:u w:val="single"/>
                      </w:rPr>
                    </w:pPr>
                    <w:r w:rsidRPr="00772637">
                      <w:rPr>
                        <w:b/>
                        <w:sz w:val="35"/>
                        <w:szCs w:val="28"/>
                        <w:u w:val="single"/>
                      </w:rPr>
                      <w:t>Price</w:t>
                    </w:r>
                  </w:p>
                  <w:p w:rsidR="00862FBD" w:rsidRPr="004527E0" w:rsidRDefault="00862FBD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Earnings</w:t>
                    </w:r>
                  </w:p>
                  <w:p w:rsidR="00862FBD" w:rsidRPr="004527E0" w:rsidRDefault="00862FBD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Ratio</w:t>
                    </w:r>
                  </w:p>
                  <w:p w:rsidR="00862FBD" w:rsidRPr="004527E0" w:rsidRDefault="00862FBD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</w:p>
                  <w:p w:rsidR="00862FBD" w:rsidRPr="004527E0" w:rsidRDefault="00862FBD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772637">
                      <w:rPr>
                        <w:b/>
                        <w:sz w:val="35"/>
                        <w:szCs w:val="28"/>
                        <w:u w:val="single"/>
                      </w:rPr>
                      <w:t>Market</w:t>
                    </w:r>
                  </w:p>
                  <w:p w:rsidR="00862FBD" w:rsidRPr="004527E0" w:rsidRDefault="00862FBD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Book</w:t>
                    </w:r>
                  </w:p>
                  <w:p w:rsidR="00772637" w:rsidRDefault="00862FBD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 w:rsidRPr="004527E0">
                      <w:rPr>
                        <w:b/>
                        <w:sz w:val="35"/>
                        <w:szCs w:val="28"/>
                      </w:rPr>
                      <w:t>Ratio</w:t>
                    </w:r>
                  </w:p>
                  <w:p w:rsidR="00862FBD" w:rsidRPr="004527E0" w:rsidRDefault="00772637" w:rsidP="00BD1149">
                    <w:pPr>
                      <w:jc w:val="center"/>
                      <w:rPr>
                        <w:b/>
                        <w:sz w:val="35"/>
                        <w:szCs w:val="28"/>
                      </w:rPr>
                    </w:pPr>
                    <w:r>
                      <w:rPr>
                        <w:b/>
                        <w:sz w:val="35"/>
                        <w:szCs w:val="28"/>
                      </w:rPr>
                      <w:t>***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13918;top:7611;width:4538;height:972" fillcolor="#fc9">
              <v:textbox>
                <w:txbxContent>
                  <w:p w:rsidR="008A149F" w:rsidRPr="008A149F" w:rsidRDefault="008A149F" w:rsidP="008A149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A149F">
                      <w:rPr>
                        <w:b/>
                        <w:sz w:val="36"/>
                        <w:szCs w:val="36"/>
                      </w:rPr>
                      <w:t>Return on</w:t>
                    </w:r>
                  </w:p>
                  <w:p w:rsidR="008A149F" w:rsidRPr="008A149F" w:rsidRDefault="008A149F" w:rsidP="008A149F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8A149F">
                      <w:rPr>
                        <w:b/>
                        <w:sz w:val="36"/>
                        <w:szCs w:val="36"/>
                        <w:u w:val="single"/>
                      </w:rPr>
                      <w:t>Investment</w:t>
                    </w:r>
                  </w:p>
                  <w:p w:rsidR="008A149F" w:rsidRPr="008A149F" w:rsidRDefault="008A149F" w:rsidP="008A149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8A149F" w:rsidRPr="008A149F" w:rsidRDefault="008A149F" w:rsidP="008A149F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8A149F">
                      <w:rPr>
                        <w:b/>
                        <w:sz w:val="36"/>
                        <w:szCs w:val="36"/>
                        <w:u w:val="single"/>
                      </w:rPr>
                      <w:t>EBIT</w:t>
                    </w:r>
                    <w:r w:rsidR="00772637">
                      <w:rPr>
                        <w:b/>
                        <w:sz w:val="36"/>
                        <w:szCs w:val="36"/>
                        <w:u w:val="single"/>
                      </w:rPr>
                      <w:t>*</w:t>
                    </w:r>
                  </w:p>
                  <w:p w:rsidR="008A149F" w:rsidRPr="008A149F" w:rsidRDefault="008A149F" w:rsidP="008A149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A149F">
                      <w:rPr>
                        <w:b/>
                        <w:sz w:val="36"/>
                        <w:szCs w:val="36"/>
                      </w:rPr>
                      <w:t>Total Assets</w:t>
                    </w:r>
                  </w:p>
                  <w:p w:rsidR="008A149F" w:rsidRPr="008A149F" w:rsidRDefault="008A149F" w:rsidP="008A149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8A149F" w:rsidRPr="008A149F" w:rsidRDefault="008A149F" w:rsidP="008A149F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8A149F">
                      <w:rPr>
                        <w:b/>
                        <w:sz w:val="36"/>
                        <w:szCs w:val="36"/>
                        <w:u w:val="single"/>
                      </w:rPr>
                      <w:t>Net Income</w:t>
                    </w:r>
                  </w:p>
                  <w:p w:rsidR="008A149F" w:rsidRPr="008A149F" w:rsidRDefault="008A149F" w:rsidP="008A149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A149F">
                      <w:rPr>
                        <w:b/>
                        <w:sz w:val="36"/>
                        <w:szCs w:val="36"/>
                      </w:rPr>
                      <w:t>Common Equity</w:t>
                    </w:r>
                  </w:p>
                </w:txbxContent>
              </v:textbox>
            </v:shape>
            <v:line id="_x0000_s1066" style="position:absolute" from="11648,7539" to="16187,7539"/>
            <v:line id="_x0000_s1067" style="position:absolute;flip:x" from="16187,7539" to="16188,7611"/>
            <w10:anchorlock/>
          </v:group>
        </w:pict>
      </w:r>
    </w:p>
    <w:p w:rsidR="00772637" w:rsidRDefault="00772637"/>
    <w:p w:rsidR="00772637" w:rsidRPr="00772637" w:rsidRDefault="00772637">
      <w:pPr>
        <w:rPr>
          <w:b/>
          <w:sz w:val="28"/>
          <w:szCs w:val="28"/>
        </w:rPr>
      </w:pPr>
      <w:r w:rsidRPr="00772637">
        <w:rPr>
          <w:b/>
          <w:sz w:val="28"/>
          <w:szCs w:val="28"/>
        </w:rPr>
        <w:t xml:space="preserve">*       EBIT = Earnings </w:t>
      </w:r>
      <w:proofErr w:type="gramStart"/>
      <w:r w:rsidRPr="00772637">
        <w:rPr>
          <w:b/>
          <w:sz w:val="28"/>
          <w:szCs w:val="28"/>
        </w:rPr>
        <w:t>Before</w:t>
      </w:r>
      <w:proofErr w:type="gramEnd"/>
      <w:r w:rsidRPr="00772637">
        <w:rPr>
          <w:b/>
          <w:sz w:val="28"/>
          <w:szCs w:val="28"/>
        </w:rPr>
        <w:t xml:space="preserve"> Interest &amp; Tax</w:t>
      </w:r>
    </w:p>
    <w:p w:rsidR="00772637" w:rsidRPr="00772637" w:rsidRDefault="00772637">
      <w:pPr>
        <w:rPr>
          <w:b/>
          <w:sz w:val="28"/>
          <w:szCs w:val="28"/>
        </w:rPr>
      </w:pPr>
      <w:r w:rsidRPr="00772637">
        <w:rPr>
          <w:b/>
          <w:sz w:val="28"/>
          <w:szCs w:val="28"/>
        </w:rPr>
        <w:t>**     SG&amp;A = Selling, General &amp; Administrative Expenses</w:t>
      </w:r>
    </w:p>
    <w:p w:rsidR="00772637" w:rsidRPr="00772637" w:rsidRDefault="00772637">
      <w:pPr>
        <w:rPr>
          <w:b/>
          <w:sz w:val="28"/>
          <w:szCs w:val="28"/>
        </w:rPr>
      </w:pPr>
      <w:r w:rsidRPr="00772637">
        <w:rPr>
          <w:b/>
          <w:sz w:val="28"/>
          <w:szCs w:val="28"/>
        </w:rPr>
        <w:t>***   Market Value of Common Equity/Book Value of Common Equity</w:t>
      </w:r>
    </w:p>
    <w:sectPr w:rsidR="00772637" w:rsidRPr="00772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149"/>
    <w:rsid w:val="00112349"/>
    <w:rsid w:val="0012408A"/>
    <w:rsid w:val="004527E0"/>
    <w:rsid w:val="006C4D39"/>
    <w:rsid w:val="00772637"/>
    <w:rsid w:val="00862FBD"/>
    <w:rsid w:val="008A149F"/>
    <w:rsid w:val="0094372F"/>
    <w:rsid w:val="00AA6813"/>
    <w:rsid w:val="00BD1149"/>
    <w:rsid w:val="00C308DB"/>
    <w:rsid w:val="00D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  <o:rules v:ext="edit">
        <o:r id="V:Rule1" type="connector" idref="#_s1032"/>
        <o:r id="V:Rule2" type="connector" idref="#_s1033">
          <o:proxy start="" idref="#_s1030" connectloc="0"/>
          <o:proxy end="" idref="#_s1028" connectloc="2"/>
        </o:r>
        <o:r id="V:Rule3" type="connector" idref="#_s1034">
          <o:proxy start="" idref="#_s1031" connectloc="0"/>
          <o:proxy end="" idref="#_s1028" connectloc="2"/>
        </o:r>
        <o:r id="V:Rule4" type="connector" idref="#_s1036">
          <o:proxy start="" idref="#_s1035" connectloc="0"/>
          <o:proxy end="" idref="#_s1028" connectloc="2"/>
        </o:r>
        <o:r id="V:Rule5" type="connector" idref="#_s1038">
          <o:proxy start="" idref="#_s1037" connectloc="0"/>
          <o:proxy end="" idref="#_s1029" connectloc="2"/>
        </o:r>
        <o:r id="V:Rule6" type="connector" idref="#_s1040">
          <o:proxy start="" idref="#_s1039" connectloc="0"/>
          <o:proxy end="" idref="#_s1029" connectloc="2"/>
        </o:r>
        <o:r id="V:Rule7" type="connector" idref="#_s1042">
          <o:proxy start="" idref="#_s1041" connectloc="0"/>
          <o:proxy end="" idref="#_s1029" connectloc="2"/>
        </o:r>
        <o:r id="V:Rule9" type="connector" idref="#_s1046"/>
        <o:r id="V:Rule12" type="connector" idref="#_s1052">
          <o:proxy start="" idref="#_s1051" connectloc="0"/>
          <o:proxy end="" idref="#_s1031" connectloc="2"/>
        </o:r>
        <o:r id="V:Rule13" type="connector" idref="#_s1054">
          <o:proxy start="" idref="#_s1053" connectloc="0"/>
          <o:proxy end="" idref="#_s1031" connectloc="2"/>
        </o:r>
        <o:r id="V:Rule14" type="connector" idref="#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Livingstone</dc:creator>
  <cp:lastModifiedBy>samsung</cp:lastModifiedBy>
  <cp:revision>2</cp:revision>
  <dcterms:created xsi:type="dcterms:W3CDTF">2010-07-28T21:22:00Z</dcterms:created>
  <dcterms:modified xsi:type="dcterms:W3CDTF">2010-07-28T21:22:00Z</dcterms:modified>
</cp:coreProperties>
</file>