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3E" w:rsidRDefault="002C743E" w:rsidP="002C74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to answer questions 26-27:</w:t>
      </w:r>
    </w:p>
    <w:p w:rsidR="002C743E" w:rsidRDefault="002C743E" w:rsidP="002C74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3E" w:rsidRDefault="002C743E" w:rsidP="002C74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its December 31, 2007 balance sheet,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Klugman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 appropriately reported a $10,000 debit balance in its Securities Fair Value Adjustment (Available-for-Sale) account. There was no change during 2008 in the composition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Klugman's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portfolio of marketable equity securities held as available-for-sale securities. The following information pertains to that portfolio:</w:t>
      </w:r>
    </w:p>
    <w:p w:rsidR="002C743E" w:rsidRDefault="002C743E" w:rsidP="002C743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76625" cy="1057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3E" w:rsidRDefault="002C743E" w:rsidP="002C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3E" w:rsidRDefault="002C743E" w:rsidP="002C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C743E" w:rsidTr="00FA402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amount of unrealized loss on these securities should be included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Klugman's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stockholders' equity section of the balance sheet at December 31, 2008?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$30,000.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$20,000.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$10,000.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</w:t>
            </w:r>
          </w:p>
        </w:tc>
      </w:tr>
    </w:tbl>
    <w:p w:rsidR="002C743E" w:rsidRDefault="002C743E" w:rsidP="002C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43E" w:rsidRDefault="002C743E" w:rsidP="002C7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C743E" w:rsidTr="00FA402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amount of unrealized loss to appear as a component of comprehensive income for the year ending December 31, 2008 is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$30,000.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$20,000.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$10,000.</w:t>
            </w:r>
          </w:p>
        </w:tc>
      </w:tr>
      <w:tr w:rsidR="002C743E" w:rsidTr="00FA402F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C743E" w:rsidRDefault="002C743E" w:rsidP="00FA40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</w:t>
            </w:r>
          </w:p>
        </w:tc>
      </w:tr>
    </w:tbl>
    <w:p w:rsidR="00473491" w:rsidRPr="002C743E" w:rsidRDefault="00473491" w:rsidP="002C743E"/>
    <w:sectPr w:rsidR="00473491" w:rsidRPr="002C743E" w:rsidSect="0047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43E"/>
    <w:rsid w:val="002C743E"/>
    <w:rsid w:val="0047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Machado</dc:creator>
  <cp:lastModifiedBy>Raquel Machado</cp:lastModifiedBy>
  <cp:revision>1</cp:revision>
  <dcterms:created xsi:type="dcterms:W3CDTF">2010-07-28T19:11:00Z</dcterms:created>
  <dcterms:modified xsi:type="dcterms:W3CDTF">2010-07-28T19:12:00Z</dcterms:modified>
</cp:coreProperties>
</file>