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-Roman" w:hAnsi="Times-Roman" w:cs="Times-Roman"/>
          <w:color w:val="231F20"/>
          <w:sz w:val="31"/>
          <w:szCs w:val="21"/>
        </w:rPr>
      </w:pPr>
      <w:r w:rsidRPr="00B110E9">
        <w:rPr>
          <w:rFonts w:ascii="Times-Roman" w:hAnsi="Times-Roman" w:cs="Times-Roman"/>
          <w:color w:val="231F20"/>
          <w:sz w:val="31"/>
          <w:szCs w:val="21"/>
        </w:rPr>
        <w:t xml:space="preserve">Using the financial statements for the Goodyear Calendar Company, </w:t>
      </w:r>
      <w:proofErr w:type="gramStart"/>
      <w:r w:rsidRPr="00B110E9">
        <w:rPr>
          <w:rFonts w:ascii="Times-Roman" w:hAnsi="Times-Roman" w:cs="Times-Roman"/>
          <w:color w:val="231F20"/>
          <w:sz w:val="31"/>
          <w:szCs w:val="21"/>
        </w:rPr>
        <w:t>calculate</w:t>
      </w:r>
      <w:r>
        <w:rPr>
          <w:rFonts w:ascii="Times-Roman" w:hAnsi="Times-Roman" w:cs="Times-Roman"/>
          <w:color w:val="231F20"/>
          <w:sz w:val="31"/>
          <w:szCs w:val="21"/>
        </w:rPr>
        <w:t xml:space="preserve">  </w:t>
      </w:r>
      <w:r w:rsidRPr="00B110E9">
        <w:rPr>
          <w:rFonts w:ascii="Times-Roman" w:hAnsi="Times-Roman" w:cs="Times-Roman"/>
          <w:color w:val="231F20"/>
          <w:sz w:val="31"/>
          <w:szCs w:val="21"/>
        </w:rPr>
        <w:t>the</w:t>
      </w:r>
      <w:proofErr w:type="gramEnd"/>
      <w:r w:rsidRPr="00B110E9">
        <w:rPr>
          <w:rFonts w:ascii="Times-Roman" w:hAnsi="Times-Roman" w:cs="Times-Roman"/>
          <w:color w:val="231F20"/>
          <w:sz w:val="31"/>
          <w:szCs w:val="21"/>
        </w:rPr>
        <w:t xml:space="preserve"> 13 basic ratios found in the chapter.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GOODYEAR CALENDAR COMPANY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Balance Sheet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December 31, 2008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Assets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Current assets: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Cash . . . . . . . . . . . . . . . . . . . . . . . . . . . . . . . . . . . . . . . . . . . . $ 40,000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Marketable securities . . . . . . . . . . . . . . . . . . . . . . . . . . . . . . . . 30,000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Accounts receivable (net) . . . . . . . . . . . . . . . . . . . . . . . . . . . . 120,000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Inventory . . . . . . . . . . . . . . . . . . . . . . . . . . . . . . . . . . . . . . . . . 180,000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current assets . . . . . . . . . . . . . . . . . . . . . . . . . . . . . . . $ 370,000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Investments . . . . . . . . . . . . . . . . . . . . . . . . . . . . . . . . . . . . . . . . . 40,000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Plant and equipment . . . . . . . . . . . . . . . . . . . . . . . . . . . . . . . . . . 450,000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Less: Accumulated depreciation . . . . . . . . . . . . . . . . . . . . . . . (100,000)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Net plant and equipment . . . . . . . . . . . . . . . . . . . . . . . . . . . 350,000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assets . . . . . . . . . . . . . . . . . . . . . . . . . . . . . . . . . . . . . . . . . $ 760,000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GOODYEAR CALENDAR COMPANY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Liabilities and Stockholders’ Equity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Current liabilities: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Accounts payable . . . . . . . . . . . . . . . . . . . . . . . . . . . . . . . . . . $ 90,000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Notes payable . . . . . . . . . . . . . . . . . . . . . . . . . . . . . . . . . . . . . 10,000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Accrued taxes . . . . . . . . . . . . . . . . . . . . . . . . . . . . . . . . . . . . . 10,000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current liabilities . . . . . . . . . . . . . . . . . . . . . . . . . . . . 110,000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Long-term liabilities: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Bonds payable . . . . . . . . . . . . . . . . . . . . . . . . . . . . . . . . . . . . . 170,000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liabilities . . . . . . . . . . . . . . . . . . . . . . . . . . . . . . . . . . 280,000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Stockholders’ equity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Preferred stock, $100 par value . . . . . . . . . . . . . . . . . . . . . . . . 90,000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Common stock, $1 par value . . . . . . . . . . . . . . . . . . . . . . . . . . 60,000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Capital paid in excess of par . . . . . . . . . . . . . . . . . . . . . . . . . . 230,000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Retained earnings . . . . . . . . . . . . . . . . . . . . . . . . . . . . . . . . . . 100,000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stockholders’ equity . . . . . . . . . . . . . . . . . . . . . . . . . 480,000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Total liabilities and stockholders’ equity . . . . . . . . . . . . . . . . . . . . $ 760,000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GOODYEAR CALENDAR COMPANY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Income Statement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-Bold" w:hAnsi="Helvetica-Bold" w:cs="Helvetica-Bold"/>
          <w:b/>
          <w:bCs/>
          <w:color w:val="231F20"/>
          <w:sz w:val="26"/>
          <w:szCs w:val="16"/>
        </w:rPr>
      </w:pPr>
      <w:r w:rsidRPr="00B110E9">
        <w:rPr>
          <w:rFonts w:ascii="Helvetica-Bold" w:hAnsi="Helvetica-Bold" w:cs="Helvetica-Bold"/>
          <w:b/>
          <w:bCs/>
          <w:color w:val="231F20"/>
          <w:sz w:val="26"/>
          <w:szCs w:val="16"/>
        </w:rPr>
        <w:t>For the Year Ending December 31, 2008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Sales (on credit) . . . . . . . . . . . . . . . . . . . . . . . . . . . . . . . . . . . . . $2,000,000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Less: Cost of goods sold . . . . . . . . . . . . . . . . . . . . . . . . . . . . . 1,300,000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Gross profit . . . . . . . . . . . . . . . . . . . . . . . . . . . . . . . . . . . . . . . . . 700,000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Less: Selling and administrative expenses . . . . . . . . . . . . . . . 400,000*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Operating profit (EBIT) . . . . . . . . . . . . . . . . . . . . . . . . . . . . . . . . 300,000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lastRenderedPageBreak/>
        <w:t>Less: Interest expense . . . . . . . . . . . . . . . . . . . . . . . . . . . . . . . 20,000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Earnings before taxes (EBT) . . . . . . . . . . . . . . . . . . . . . . . . . . . . 280,000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Less: Taxes . . . . . . . . . . . . . . . . . . . . . . . . . . . . . . . . . . . . . . . 112,000</w:t>
      </w:r>
    </w:p>
    <w:p w:rsidR="00B110E9" w:rsidRPr="00B110E9" w:rsidRDefault="00B110E9" w:rsidP="00B110E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Helvetica" w:hAnsi="Helvetica" w:cs="Helvetica"/>
          <w:color w:val="231F20"/>
          <w:sz w:val="26"/>
          <w:szCs w:val="16"/>
        </w:rPr>
      </w:pPr>
      <w:r w:rsidRPr="00B110E9">
        <w:rPr>
          <w:rFonts w:ascii="Helvetica" w:hAnsi="Helvetica" w:cs="Helvetica"/>
          <w:color w:val="231F20"/>
          <w:sz w:val="26"/>
          <w:szCs w:val="16"/>
        </w:rPr>
        <w:t>Earnings after taxes (EAT) . . . . . . . . . . . . . . . . . . . . . . . . . . . . . $ 168,000</w:t>
      </w:r>
    </w:p>
    <w:p w:rsidR="00B110E9" w:rsidRPr="00B110E9" w:rsidRDefault="00B110E9" w:rsidP="00B110E9">
      <w:pPr>
        <w:jc w:val="center"/>
        <w:rPr>
          <w:sz w:val="40"/>
        </w:rPr>
      </w:pPr>
      <w:r w:rsidRPr="00B110E9">
        <w:rPr>
          <w:rFonts w:ascii="Helvetica" w:hAnsi="Helvetica" w:cs="Helvetica"/>
          <w:color w:val="231F20"/>
          <w:sz w:val="24"/>
          <w:szCs w:val="14"/>
        </w:rPr>
        <w:t>*Includes $10,000 in lease payments.</w:t>
      </w:r>
    </w:p>
    <w:sectPr w:rsidR="00B110E9" w:rsidRPr="00B110E9" w:rsidSect="001B22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10E9"/>
    <w:rsid w:val="00140758"/>
    <w:rsid w:val="001A2433"/>
    <w:rsid w:val="001B2233"/>
    <w:rsid w:val="002916B3"/>
    <w:rsid w:val="003220C0"/>
    <w:rsid w:val="003A7B92"/>
    <w:rsid w:val="00640624"/>
    <w:rsid w:val="008F7AE1"/>
    <w:rsid w:val="009062BA"/>
    <w:rsid w:val="009720B8"/>
    <w:rsid w:val="009E0F90"/>
    <w:rsid w:val="00A543A8"/>
    <w:rsid w:val="00B110E9"/>
    <w:rsid w:val="00CC48BC"/>
    <w:rsid w:val="00E6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187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2010-07-07T12:02:00Z</cp:lastPrinted>
  <dcterms:created xsi:type="dcterms:W3CDTF">2010-07-07T12:01:00Z</dcterms:created>
  <dcterms:modified xsi:type="dcterms:W3CDTF">2010-07-07T12:03:00Z</dcterms:modified>
</cp:coreProperties>
</file>