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1B" w:rsidRDefault="00AF241B" w:rsidP="00AF241B">
      <w:pPr>
        <w:pStyle w:val="Heading1"/>
        <w:shd w:val="clear" w:color="auto" w:fill="FFFFFF"/>
        <w:jc w:val="center"/>
        <w:rPr>
          <w:color w:val="auto"/>
        </w:rPr>
      </w:pPr>
      <w:r w:rsidRPr="00AF241B">
        <w:rPr>
          <w:color w:val="auto"/>
        </w:rPr>
        <w:t>Activity Based Costing</w:t>
      </w:r>
    </w:p>
    <w:p w:rsidR="00FC4009" w:rsidRDefault="00FC4009" w:rsidP="00FC4009"/>
    <w:p w:rsidR="00FC4009" w:rsidRPr="00FC4009" w:rsidRDefault="00FC4009" w:rsidP="00FC4009"/>
    <w:p w:rsidR="00AF241B" w:rsidRDefault="00AF241B" w:rsidP="00AF241B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Below find Millie'</w:t>
      </w:r>
      <w:r w:rsidR="00FC4009">
        <w:rPr>
          <w:rFonts w:ascii="Verdana" w:hAnsi="Verdana"/>
          <w:color w:val="000000"/>
          <w:sz w:val="20"/>
          <w:szCs w:val="20"/>
        </w:rPr>
        <w:t>s income statement</w:t>
      </w:r>
      <w:r>
        <w:rPr>
          <w:rFonts w:ascii="Verdana" w:hAnsi="Verdana"/>
          <w:color w:val="000000"/>
          <w:sz w:val="20"/>
          <w:szCs w:val="20"/>
        </w:rPr>
        <w:t>.</w:t>
      </w:r>
    </w:p>
    <w:tbl>
      <w:tblPr>
        <w:tblW w:w="82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92"/>
        <w:gridCol w:w="2061"/>
        <w:gridCol w:w="2252"/>
      </w:tblGrid>
      <w:tr w:rsidR="00AF241B" w:rsidTr="00AF241B">
        <w:trPr>
          <w:tblCellSpacing w:w="0" w:type="dxa"/>
        </w:trPr>
        <w:tc>
          <w:tcPr>
            <w:tcW w:w="6435" w:type="dxa"/>
            <w:gridSpan w:val="3"/>
            <w:vAlign w:val="bottom"/>
            <w:hideMark/>
          </w:tcPr>
          <w:p w:rsidR="00AF241B" w:rsidRDefault="00AF241B">
            <w:pPr>
              <w:pStyle w:val="Normal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Millie’s Linen Company</w:t>
            </w:r>
          </w:p>
        </w:tc>
      </w:tr>
      <w:tr w:rsidR="00AF241B" w:rsidTr="00AF241B">
        <w:trPr>
          <w:tblCellSpacing w:w="0" w:type="dxa"/>
        </w:trPr>
        <w:tc>
          <w:tcPr>
            <w:tcW w:w="6435" w:type="dxa"/>
            <w:gridSpan w:val="3"/>
            <w:vAlign w:val="bottom"/>
            <w:hideMark/>
          </w:tcPr>
          <w:p w:rsidR="00AF241B" w:rsidRDefault="00AF241B">
            <w:pPr>
              <w:pStyle w:val="Normal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For the year ended 12-31-XX</w:t>
            </w:r>
          </w:p>
        </w:tc>
      </w:tr>
      <w:tr w:rsidR="00AF241B" w:rsidTr="00AF241B">
        <w:trPr>
          <w:tblCellSpacing w:w="0" w:type="dxa"/>
        </w:trPr>
        <w:tc>
          <w:tcPr>
            <w:tcW w:w="3060" w:type="dxa"/>
            <w:vAlign w:val="bottom"/>
            <w:hideMark/>
          </w:tcPr>
          <w:p w:rsidR="00AF241B" w:rsidRDefault="00AF241B">
            <w:pPr>
              <w:pStyle w:val="Normal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vAlign w:val="bottom"/>
            <w:hideMark/>
          </w:tcPr>
          <w:p w:rsidR="00AF241B" w:rsidRDefault="00AF241B">
            <w:pPr>
              <w:pStyle w:val="Normal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70" w:type="dxa"/>
            <w:vAlign w:val="bottom"/>
            <w:hideMark/>
          </w:tcPr>
          <w:p w:rsidR="00AF241B" w:rsidRDefault="00AF241B">
            <w:pPr>
              <w:pStyle w:val="Normal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AF241B" w:rsidTr="00AF241B">
        <w:trPr>
          <w:tblCellSpacing w:w="0" w:type="dxa"/>
        </w:trPr>
        <w:tc>
          <w:tcPr>
            <w:tcW w:w="3060" w:type="dxa"/>
            <w:vAlign w:val="bottom"/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Sales</w:t>
            </w:r>
          </w:p>
        </w:tc>
        <w:tc>
          <w:tcPr>
            <w:tcW w:w="1620" w:type="dxa"/>
            <w:vAlign w:val="bottom"/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70" w:type="dxa"/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$500,000</w:t>
            </w:r>
          </w:p>
        </w:tc>
      </w:tr>
      <w:tr w:rsidR="00AF241B" w:rsidTr="00AF241B">
        <w:trPr>
          <w:tblCellSpacing w:w="0" w:type="dxa"/>
        </w:trPr>
        <w:tc>
          <w:tcPr>
            <w:tcW w:w="3060" w:type="dxa"/>
            <w:vAlign w:val="bottom"/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Variable Production Costs</w:t>
            </w:r>
          </w:p>
        </w:tc>
        <w:tc>
          <w:tcPr>
            <w:tcW w:w="1620" w:type="dxa"/>
            <w:vAlign w:val="bottom"/>
            <w:hideMark/>
          </w:tcPr>
          <w:p w:rsidR="00AF241B" w:rsidRDefault="00AF241B">
            <w:pPr>
              <w:pStyle w:val="Normal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70" w:type="dxa"/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      </w:t>
            </w:r>
            <w:r>
              <w:rPr>
                <w:rFonts w:ascii="Verdana" w:hAnsi="Verdana"/>
                <w:color w:val="000000"/>
                <w:sz w:val="17"/>
                <w:szCs w:val="17"/>
                <w:u w:val="single"/>
              </w:rPr>
              <w:t>150,000</w:t>
            </w:r>
          </w:p>
        </w:tc>
      </w:tr>
      <w:tr w:rsidR="00AF241B" w:rsidTr="00AF241B">
        <w:trPr>
          <w:tblCellSpacing w:w="0" w:type="dxa"/>
        </w:trPr>
        <w:tc>
          <w:tcPr>
            <w:tcW w:w="3060" w:type="dxa"/>
            <w:vAlign w:val="bottom"/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Contribution Margin</w:t>
            </w:r>
          </w:p>
        </w:tc>
        <w:tc>
          <w:tcPr>
            <w:tcW w:w="1620" w:type="dxa"/>
            <w:vAlign w:val="bottom"/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70" w:type="dxa"/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$350,000</w:t>
            </w:r>
          </w:p>
        </w:tc>
      </w:tr>
      <w:tr w:rsidR="00AF241B" w:rsidTr="00AF241B">
        <w:trPr>
          <w:tblCellSpacing w:w="0" w:type="dxa"/>
        </w:trPr>
        <w:tc>
          <w:tcPr>
            <w:tcW w:w="3060" w:type="dxa"/>
            <w:vAlign w:val="bottom"/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Fixed Costs:</w:t>
            </w:r>
          </w:p>
        </w:tc>
        <w:tc>
          <w:tcPr>
            <w:tcW w:w="1620" w:type="dxa"/>
            <w:vAlign w:val="bottom"/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70" w:type="dxa"/>
            <w:vAlign w:val="bottom"/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AF241B" w:rsidTr="00AF241B">
        <w:trPr>
          <w:tblCellSpacing w:w="0" w:type="dxa"/>
        </w:trPr>
        <w:tc>
          <w:tcPr>
            <w:tcW w:w="3060" w:type="dxa"/>
            <w:vAlign w:val="bottom"/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 Production Overhead</w:t>
            </w:r>
          </w:p>
        </w:tc>
        <w:tc>
          <w:tcPr>
            <w:tcW w:w="1620" w:type="dxa"/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$120,000</w:t>
            </w:r>
          </w:p>
        </w:tc>
        <w:tc>
          <w:tcPr>
            <w:tcW w:w="1770" w:type="dxa"/>
            <w:vAlign w:val="bottom"/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AF241B" w:rsidTr="00AF241B">
        <w:trPr>
          <w:tblCellSpacing w:w="0" w:type="dxa"/>
        </w:trPr>
        <w:tc>
          <w:tcPr>
            <w:tcW w:w="3060" w:type="dxa"/>
            <w:vAlign w:val="bottom"/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 Sellling &amp; Distribution Costs</w:t>
            </w:r>
          </w:p>
        </w:tc>
        <w:tc>
          <w:tcPr>
            <w:tcW w:w="1620" w:type="dxa"/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u w:val="single"/>
              </w:rPr>
              <w:t>          180,000</w:t>
            </w:r>
          </w:p>
        </w:tc>
        <w:tc>
          <w:tcPr>
            <w:tcW w:w="1770" w:type="dxa"/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u w:val="single"/>
              </w:rPr>
              <w:t>            300,000</w:t>
            </w:r>
          </w:p>
        </w:tc>
      </w:tr>
      <w:tr w:rsidR="00AF241B" w:rsidTr="00AF241B">
        <w:trPr>
          <w:tblCellSpacing w:w="0" w:type="dxa"/>
        </w:trPr>
        <w:tc>
          <w:tcPr>
            <w:tcW w:w="3060" w:type="dxa"/>
            <w:vAlign w:val="bottom"/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Net Operating Income</w:t>
            </w:r>
          </w:p>
        </w:tc>
        <w:tc>
          <w:tcPr>
            <w:tcW w:w="1620" w:type="dxa"/>
            <w:vAlign w:val="bottom"/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70" w:type="dxa"/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$50,000</w:t>
            </w:r>
          </w:p>
        </w:tc>
      </w:tr>
      <w:tr w:rsidR="00AF241B" w:rsidTr="00AF241B">
        <w:trPr>
          <w:tblCellSpacing w:w="0" w:type="dxa"/>
        </w:trPr>
        <w:tc>
          <w:tcPr>
            <w:tcW w:w="3060" w:type="dxa"/>
            <w:vAlign w:val="bottom"/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vAlign w:val="bottom"/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70" w:type="dxa"/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======</w:t>
            </w:r>
          </w:p>
        </w:tc>
      </w:tr>
    </w:tbl>
    <w:p w:rsidR="00FC4009" w:rsidRDefault="00AF241B" w:rsidP="00AF241B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Customer support &amp; distribution cost</w:t>
      </w:r>
      <w:r w:rsidR="00FC4009">
        <w:rPr>
          <w:rFonts w:ascii="Verdana" w:hAnsi="Verdana"/>
          <w:color w:val="000000"/>
          <w:sz w:val="20"/>
          <w:szCs w:val="20"/>
        </w:rPr>
        <w:t>s are high. </w:t>
      </w:r>
      <w:r>
        <w:rPr>
          <w:rFonts w:ascii="Verdana" w:hAnsi="Verdana"/>
          <w:color w:val="000000"/>
          <w:sz w:val="20"/>
          <w:szCs w:val="20"/>
        </w:rPr>
        <w:t>The total amount was $180,000 last year.</w:t>
      </w:r>
      <w:r w:rsidR="00FC4009">
        <w:rPr>
          <w:rFonts w:ascii="Verdana" w:hAnsi="Verdana"/>
          <w:color w:val="000000"/>
          <w:sz w:val="20"/>
          <w:szCs w:val="20"/>
        </w:rPr>
        <w:t xml:space="preserve"> The CEO suggested that</w:t>
      </w:r>
      <w:r>
        <w:rPr>
          <w:rFonts w:ascii="Verdana" w:hAnsi="Verdana"/>
          <w:color w:val="000000"/>
          <w:sz w:val="20"/>
          <w:szCs w:val="20"/>
        </w:rPr>
        <w:t xml:space="preserve"> you are brought i</w:t>
      </w:r>
      <w:r w:rsidR="00FC4009">
        <w:rPr>
          <w:rFonts w:ascii="Verdana" w:hAnsi="Verdana"/>
          <w:color w:val="000000"/>
          <w:sz w:val="20"/>
          <w:szCs w:val="20"/>
        </w:rPr>
        <w:t>n as a consultant to prepare an</w:t>
      </w:r>
      <w:r>
        <w:rPr>
          <w:rFonts w:ascii="Verdana" w:hAnsi="Verdana"/>
          <w:color w:val="000000"/>
          <w:sz w:val="20"/>
          <w:szCs w:val="20"/>
        </w:rPr>
        <w:t xml:space="preserve"> analysis. </w:t>
      </w:r>
      <w:r w:rsidR="00FC4009">
        <w:rPr>
          <w:rFonts w:ascii="Verdana" w:hAnsi="Verdana"/>
          <w:color w:val="000000"/>
          <w:sz w:val="20"/>
          <w:szCs w:val="20"/>
        </w:rPr>
        <w:t>He suggests that the company analyze overhead costs associated with supporting different types of customers.</w:t>
      </w:r>
    </w:p>
    <w:p w:rsidR="00AF241B" w:rsidRDefault="00FC4009" w:rsidP="00AF241B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AF241B">
        <w:rPr>
          <w:rFonts w:ascii="Verdana" w:hAnsi="Verdana"/>
          <w:color w:val="000000"/>
          <w:sz w:val="20"/>
          <w:szCs w:val="20"/>
        </w:rPr>
        <w:t>The table below provides some information that may be pertinent for the analysis.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5"/>
        <w:gridCol w:w="1545"/>
        <w:gridCol w:w="1770"/>
        <w:gridCol w:w="1770"/>
        <w:gridCol w:w="1770"/>
      </w:tblGrid>
      <w:tr w:rsidR="00AF241B" w:rsidTr="00AF241B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AF241B" w:rsidTr="00AF241B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1B" w:rsidRDefault="00AF241B">
            <w:pPr>
              <w:pStyle w:val="Normal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Description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1B" w:rsidRDefault="00AF241B">
            <w:pPr>
              <w:pStyle w:val="Normal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Customer Support &amp; Distribution Costs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1B" w:rsidRDefault="00AF241B">
            <w:pPr>
              <w:pStyle w:val="Normal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Department Stores</w:t>
            </w:r>
          </w:p>
          <w:p w:rsidR="00AF241B" w:rsidRDefault="00AF241B">
            <w:pPr>
              <w:pStyle w:val="Normal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Activity Level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1B" w:rsidRDefault="00AF241B">
            <w:pPr>
              <w:pStyle w:val="Normal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Specialty Shops</w:t>
            </w:r>
          </w:p>
          <w:p w:rsidR="00AF241B" w:rsidRDefault="00AF241B">
            <w:pPr>
              <w:pStyle w:val="Normal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Activity Level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41B" w:rsidRDefault="00AF241B">
            <w:pPr>
              <w:pStyle w:val="Normal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Gift Shops</w:t>
            </w:r>
          </w:p>
          <w:p w:rsidR="00AF241B" w:rsidRDefault="00AF241B">
            <w:pPr>
              <w:pStyle w:val="Normal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Activity Level</w:t>
            </w:r>
          </w:p>
        </w:tc>
      </w:tr>
      <w:tr w:rsidR="00AF241B" w:rsidTr="00AF241B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Sales (units)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10,000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5,000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5,000</w:t>
            </w:r>
          </w:p>
        </w:tc>
      </w:tr>
      <w:tr w:rsidR="00AF241B" w:rsidTr="00AF241B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Revenues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$150,000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$100,000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$250,000</w:t>
            </w:r>
          </w:p>
        </w:tc>
      </w:tr>
      <w:tr w:rsidR="00AF241B" w:rsidTr="00AF241B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Contribution margin ratio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50%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75%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80%</w:t>
            </w:r>
          </w:p>
        </w:tc>
      </w:tr>
      <w:tr w:rsidR="00AF241B" w:rsidTr="00AF241B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No of customers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250</w:t>
            </w:r>
          </w:p>
        </w:tc>
      </w:tr>
      <w:tr w:rsidR="00AF241B" w:rsidTr="00AF241B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Total costs/No of orders places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$40,000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900</w:t>
            </w:r>
          </w:p>
        </w:tc>
      </w:tr>
      <w:tr w:rsidR="00AF241B" w:rsidTr="00AF241B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Total costs/No of sales calls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80,000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195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800</w:t>
            </w:r>
          </w:p>
        </w:tc>
      </w:tr>
      <w:tr w:rsidR="00AF241B" w:rsidTr="00AF241B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41B" w:rsidRDefault="00AF241B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Total costs/No of shipments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60,000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480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241B" w:rsidRDefault="00AF241B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1,000</w:t>
            </w:r>
          </w:p>
        </w:tc>
      </w:tr>
    </w:tbl>
    <w:p w:rsidR="00AF241B" w:rsidRDefault="00AF241B" w:rsidP="00AF241B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C4009" w:rsidRDefault="00976C51" w:rsidP="00FC4009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Objective</w:t>
      </w:r>
      <w:r w:rsidR="00FC4009">
        <w:rPr>
          <w:rFonts w:ascii="Verdana" w:hAnsi="Verdana"/>
          <w:color w:val="000000"/>
          <w:sz w:val="20"/>
          <w:szCs w:val="20"/>
        </w:rPr>
        <w:t>:</w:t>
      </w:r>
    </w:p>
    <w:p w:rsidR="00801BF4" w:rsidRDefault="00976C51" w:rsidP="00976C51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 able  to calculate</w:t>
      </w:r>
      <w:r w:rsidR="00AF241B">
        <w:rPr>
          <w:rFonts w:ascii="Verdana" w:hAnsi="Verdana"/>
          <w:color w:val="000000"/>
          <w:sz w:val="20"/>
          <w:szCs w:val="20"/>
        </w:rPr>
        <w:t xml:space="preserve"> the customer support and distribution costs associated wit</w:t>
      </w:r>
      <w:r>
        <w:rPr>
          <w:rFonts w:ascii="Verdana" w:hAnsi="Verdana"/>
          <w:color w:val="000000"/>
          <w:sz w:val="20"/>
          <w:szCs w:val="20"/>
        </w:rPr>
        <w:t>h the three types of customers by first using a simple strategy to</w:t>
      </w:r>
      <w:r w:rsidR="00AF241B">
        <w:rPr>
          <w:rFonts w:ascii="Verdana" w:hAnsi="Verdana"/>
          <w:color w:val="000000"/>
          <w:sz w:val="20"/>
          <w:szCs w:val="20"/>
        </w:rPr>
        <w:t xml:space="preserve"> alloc</w:t>
      </w:r>
      <w:r>
        <w:rPr>
          <w:rFonts w:ascii="Verdana" w:hAnsi="Verdana"/>
          <w:color w:val="000000"/>
          <w:sz w:val="20"/>
          <w:szCs w:val="20"/>
        </w:rPr>
        <w:t>ate the costs based on revenues and then by recalculating</w:t>
      </w:r>
      <w:r w:rsidR="00AF241B">
        <w:rPr>
          <w:rFonts w:ascii="Verdana" w:hAnsi="Verdana"/>
          <w:color w:val="000000"/>
          <w:sz w:val="20"/>
          <w:szCs w:val="20"/>
        </w:rPr>
        <w:t xml:space="preserve"> the allocations using activity based costing (ABC). Determine contribution margin less customer support and distribution c</w:t>
      </w:r>
      <w:r>
        <w:rPr>
          <w:rFonts w:ascii="Verdana" w:hAnsi="Verdana"/>
          <w:color w:val="000000"/>
          <w:sz w:val="20"/>
          <w:szCs w:val="20"/>
        </w:rPr>
        <w:t xml:space="preserve">osts for both approaches above and identify which </w:t>
      </w:r>
      <w:r w:rsidR="00AF241B">
        <w:rPr>
          <w:rFonts w:ascii="Verdana" w:hAnsi="Verdana"/>
          <w:color w:val="000000"/>
          <w:sz w:val="20"/>
          <w:szCs w:val="20"/>
        </w:rPr>
        <w:t>customer should the</w:t>
      </w:r>
      <w:r>
        <w:rPr>
          <w:rFonts w:ascii="Verdana" w:hAnsi="Verdana"/>
          <w:color w:val="000000"/>
          <w:sz w:val="20"/>
          <w:szCs w:val="20"/>
        </w:rPr>
        <w:t xml:space="preserve"> company support and why?  </w:t>
      </w:r>
      <w:r w:rsidR="00801BF4">
        <w:rPr>
          <w:rFonts w:ascii="Verdana" w:hAnsi="Verdana"/>
          <w:color w:val="000000"/>
          <w:sz w:val="20"/>
          <w:szCs w:val="20"/>
        </w:rPr>
        <w:t>According to the analysis</w:t>
      </w:r>
      <w:r w:rsidR="00AF241B">
        <w:rPr>
          <w:rFonts w:ascii="Verdana" w:hAnsi="Verdana"/>
          <w:color w:val="000000"/>
          <w:sz w:val="20"/>
          <w:szCs w:val="20"/>
        </w:rPr>
        <w:t xml:space="preserve">. </w:t>
      </w:r>
    </w:p>
    <w:sectPr w:rsidR="00801BF4" w:rsidSect="004B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39EB"/>
    <w:multiLevelType w:val="multilevel"/>
    <w:tmpl w:val="6DD6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41B"/>
    <w:rsid w:val="00124436"/>
    <w:rsid w:val="004B6E91"/>
    <w:rsid w:val="00801BF4"/>
    <w:rsid w:val="0090603E"/>
    <w:rsid w:val="00976C51"/>
    <w:rsid w:val="00AF241B"/>
    <w:rsid w:val="00FC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4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4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AF241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2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wez</dc:creator>
  <cp:keywords/>
  <dc:description/>
  <cp:lastModifiedBy>wez</cp:lastModifiedBy>
  <cp:revision>3</cp:revision>
  <dcterms:created xsi:type="dcterms:W3CDTF">2010-06-08T13:51:00Z</dcterms:created>
  <dcterms:modified xsi:type="dcterms:W3CDTF">2010-06-08T14:36:00Z</dcterms:modified>
</cp:coreProperties>
</file>