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1EE" w:rsidRPr="008C30CA" w:rsidRDefault="00D731EE" w:rsidP="00D731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0CA">
        <w:rPr>
          <w:rFonts w:ascii="Arial" w:hAnsi="Arial" w:cs="Arial"/>
          <w:sz w:val="22"/>
          <w:szCs w:val="22"/>
        </w:rPr>
        <w:t xml:space="preserve">Power Corporation acquired 75 percent of Best Company’s ownership on January 1, </w:t>
      </w:r>
      <w:r>
        <w:rPr>
          <w:rFonts w:ascii="Arial" w:hAnsi="Arial" w:cs="Arial"/>
          <w:sz w:val="22"/>
          <w:szCs w:val="22"/>
        </w:rPr>
        <w:t>2</w:t>
      </w:r>
      <w:r w:rsidRPr="008C30CA">
        <w:rPr>
          <w:rFonts w:ascii="Arial" w:hAnsi="Arial" w:cs="Arial"/>
          <w:sz w:val="22"/>
          <w:szCs w:val="22"/>
        </w:rPr>
        <w:t>0X8, for $96,000.</w:t>
      </w:r>
      <w:r>
        <w:rPr>
          <w:rFonts w:ascii="Arial" w:hAnsi="Arial" w:cs="Arial"/>
          <w:sz w:val="22"/>
          <w:szCs w:val="22"/>
        </w:rPr>
        <w:t xml:space="preserve">  </w:t>
      </w:r>
      <w:r w:rsidRPr="008C30CA">
        <w:rPr>
          <w:rFonts w:ascii="Arial" w:hAnsi="Arial" w:cs="Arial"/>
          <w:sz w:val="22"/>
          <w:szCs w:val="22"/>
        </w:rPr>
        <w:t xml:space="preserve">At that date, the fair value of Best’s buildings and equipment was $20,000 more than book value. </w:t>
      </w:r>
      <w:proofErr w:type="gramStart"/>
      <w:r w:rsidRPr="008C30CA">
        <w:rPr>
          <w:rFonts w:ascii="Arial" w:hAnsi="Arial" w:cs="Arial"/>
          <w:sz w:val="22"/>
          <w:szCs w:val="22"/>
        </w:rPr>
        <w:t>Buildings</w:t>
      </w:r>
      <w:r>
        <w:rPr>
          <w:rFonts w:ascii="Arial" w:hAnsi="Arial" w:cs="Arial"/>
          <w:sz w:val="22"/>
          <w:szCs w:val="22"/>
        </w:rPr>
        <w:t xml:space="preserve">  </w:t>
      </w:r>
      <w:r w:rsidRPr="008C30CA">
        <w:rPr>
          <w:rFonts w:ascii="Arial" w:hAnsi="Arial" w:cs="Arial"/>
          <w:sz w:val="22"/>
          <w:szCs w:val="22"/>
        </w:rPr>
        <w:t>and</w:t>
      </w:r>
      <w:proofErr w:type="gramEnd"/>
      <w:r w:rsidRPr="008C30CA">
        <w:rPr>
          <w:rFonts w:ascii="Arial" w:hAnsi="Arial" w:cs="Arial"/>
          <w:sz w:val="22"/>
          <w:szCs w:val="22"/>
        </w:rPr>
        <w:t xml:space="preserve"> equipment are depreciated on a 10-year basis. Although goodwill is not amortized, the </w:t>
      </w:r>
      <w:proofErr w:type="gramStart"/>
      <w:r w:rsidRPr="008C30CA">
        <w:rPr>
          <w:rFonts w:ascii="Arial" w:hAnsi="Arial" w:cs="Arial"/>
          <w:sz w:val="22"/>
          <w:szCs w:val="22"/>
        </w:rPr>
        <w:t>management</w:t>
      </w:r>
      <w:r>
        <w:rPr>
          <w:rFonts w:ascii="Arial" w:hAnsi="Arial" w:cs="Arial"/>
          <w:sz w:val="22"/>
          <w:szCs w:val="22"/>
        </w:rPr>
        <w:t xml:space="preserve">  </w:t>
      </w:r>
      <w:r w:rsidRPr="008C30CA">
        <w:rPr>
          <w:rFonts w:ascii="Arial" w:hAnsi="Arial" w:cs="Arial"/>
          <w:sz w:val="22"/>
          <w:szCs w:val="22"/>
        </w:rPr>
        <w:t>of</w:t>
      </w:r>
      <w:proofErr w:type="gramEnd"/>
      <w:r w:rsidRPr="008C30CA">
        <w:rPr>
          <w:rFonts w:ascii="Arial" w:hAnsi="Arial" w:cs="Arial"/>
          <w:sz w:val="22"/>
          <w:szCs w:val="22"/>
        </w:rPr>
        <w:t xml:space="preserve"> Power concluded at December 31, 20X8, that goodwill involved in its purchase of Best</w:t>
      </w:r>
      <w:r>
        <w:rPr>
          <w:rFonts w:ascii="Arial" w:hAnsi="Arial" w:cs="Arial"/>
          <w:sz w:val="22"/>
          <w:szCs w:val="22"/>
        </w:rPr>
        <w:t xml:space="preserve">  </w:t>
      </w:r>
      <w:r w:rsidRPr="008C30CA">
        <w:rPr>
          <w:rFonts w:ascii="Arial" w:hAnsi="Arial" w:cs="Arial"/>
          <w:sz w:val="22"/>
          <w:szCs w:val="22"/>
        </w:rPr>
        <w:t>shares had been impaired and the correct carrying value was $2,500. No additional impairment occurred</w:t>
      </w:r>
    </w:p>
    <w:p w:rsidR="00D731EE" w:rsidRPr="008C30CA" w:rsidRDefault="00D731EE" w:rsidP="00D731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8C30CA">
        <w:rPr>
          <w:rFonts w:ascii="Arial" w:hAnsi="Arial" w:cs="Arial"/>
          <w:sz w:val="22"/>
          <w:szCs w:val="22"/>
        </w:rPr>
        <w:t>in</w:t>
      </w:r>
      <w:proofErr w:type="gramEnd"/>
      <w:r w:rsidRPr="008C30CA">
        <w:rPr>
          <w:rFonts w:ascii="Arial" w:hAnsi="Arial" w:cs="Arial"/>
          <w:sz w:val="22"/>
          <w:szCs w:val="22"/>
        </w:rPr>
        <w:t xml:space="preserve"> 20X9.</w:t>
      </w:r>
      <w:r>
        <w:rPr>
          <w:rFonts w:ascii="Arial" w:hAnsi="Arial" w:cs="Arial"/>
          <w:sz w:val="22"/>
          <w:szCs w:val="22"/>
        </w:rPr>
        <w:t xml:space="preserve">  </w:t>
      </w:r>
      <w:r w:rsidRPr="008C30CA">
        <w:rPr>
          <w:rFonts w:ascii="Arial" w:hAnsi="Arial" w:cs="Arial"/>
          <w:sz w:val="22"/>
          <w:szCs w:val="22"/>
        </w:rPr>
        <w:t>Trial balance data for Power and Best on December 31, 20X9, are as follows:</w:t>
      </w:r>
    </w:p>
    <w:p w:rsidR="00D731EE" w:rsidRPr="008C30CA" w:rsidRDefault="00D731EE" w:rsidP="00D731EE">
      <w:pPr>
        <w:rPr>
          <w:rFonts w:ascii="Arial" w:hAnsi="Arial" w:cs="Arial"/>
        </w:rPr>
      </w:pPr>
    </w:p>
    <w:tbl>
      <w:tblPr>
        <w:tblW w:w="9540" w:type="dxa"/>
        <w:tblInd w:w="108" w:type="dxa"/>
        <w:tblLook w:val="0000"/>
      </w:tblPr>
      <w:tblGrid>
        <w:gridCol w:w="3780"/>
        <w:gridCol w:w="1440"/>
        <w:gridCol w:w="1384"/>
        <w:gridCol w:w="236"/>
        <w:gridCol w:w="1440"/>
        <w:gridCol w:w="1260"/>
      </w:tblGrid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Power Corporation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Best Company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Debit 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Credit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Debit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Credit </w:t>
            </w:r>
          </w:p>
        </w:tc>
      </w:tr>
      <w:tr w:rsidR="00D731EE" w:rsidRPr="008C30CA" w:rsidTr="00EA49DA">
        <w:trPr>
          <w:cantSplit/>
          <w:trHeight w:hRule="exact" w:val="65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Cash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68,500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32,000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Accounts Receivable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85,000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14,000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Inventory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97,000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24,000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50,000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25,000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Buildings and Equipment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350,000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150,000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Investment in Best Co. Stock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111,000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Cost of Goods Sold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145,000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114,000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Wage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35,000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20,000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Depreciation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25,000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10,000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Interest Expense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12,000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4,000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Other Expenses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23,000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16,000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Dividends Declared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 30,000 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20,000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Accumulated Depreciation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170,000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50,000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C30CA">
              <w:rPr>
                <w:rFonts w:ascii="Arial" w:hAnsi="Arial" w:cs="Arial"/>
                <w:sz w:val="20"/>
                <w:szCs w:val="20"/>
              </w:rPr>
              <w:t>Acounts</w:t>
            </w:r>
            <w:proofErr w:type="spellEnd"/>
            <w:r w:rsidRPr="008C30CA">
              <w:rPr>
                <w:rFonts w:ascii="Arial" w:hAnsi="Arial" w:cs="Arial"/>
                <w:sz w:val="20"/>
                <w:szCs w:val="20"/>
              </w:rPr>
              <w:t xml:space="preserve"> Payable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51,000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15,000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Wages Payable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14,000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6,000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Notes Payable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150,000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50,000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Common Stock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200,000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60,000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Retained Earnings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131,000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48,000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Sales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290,000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200,000 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Income From Subsidiary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  25,500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731EE" w:rsidRPr="008C30CA" w:rsidTr="00EA49DA">
        <w:trPr>
          <w:cantSplit/>
          <w:trHeight w:hRule="exact" w:val="288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E" w:rsidRPr="008C30CA" w:rsidTr="00EA49DA">
        <w:trPr>
          <w:cantSplit/>
          <w:trHeight w:hRule="exact" w:val="567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1,031,500 </w:t>
            </w:r>
          </w:p>
        </w:tc>
        <w:tc>
          <w:tcPr>
            <w:tcW w:w="138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1,031,500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 429,000 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D731EE" w:rsidRPr="008C30CA" w:rsidRDefault="00D731EE" w:rsidP="00EA49DA">
            <w:pPr>
              <w:rPr>
                <w:rFonts w:ascii="Arial" w:hAnsi="Arial" w:cs="Arial"/>
                <w:sz w:val="20"/>
                <w:szCs w:val="20"/>
              </w:rPr>
            </w:pPr>
            <w:r w:rsidRPr="008C30CA">
              <w:rPr>
                <w:rFonts w:ascii="Arial" w:hAnsi="Arial" w:cs="Arial"/>
                <w:sz w:val="20"/>
                <w:szCs w:val="20"/>
              </w:rPr>
              <w:t xml:space="preserve">       429,000 </w:t>
            </w:r>
          </w:p>
        </w:tc>
      </w:tr>
    </w:tbl>
    <w:p w:rsidR="00D731EE" w:rsidRPr="008C30CA" w:rsidRDefault="00D731EE" w:rsidP="00D731EE">
      <w:pPr>
        <w:rPr>
          <w:rFonts w:ascii="Arial" w:hAnsi="Arial" w:cs="Arial"/>
        </w:rPr>
      </w:pPr>
    </w:p>
    <w:p w:rsidR="00D731EE" w:rsidRPr="008C30CA" w:rsidRDefault="00D731EE" w:rsidP="00D731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8C30CA">
        <w:rPr>
          <w:rFonts w:ascii="Arial" w:hAnsi="Arial" w:cs="Arial"/>
          <w:i/>
          <w:iCs/>
          <w:sz w:val="22"/>
          <w:szCs w:val="22"/>
        </w:rPr>
        <w:t xml:space="preserve">a. </w:t>
      </w:r>
      <w:r w:rsidRPr="008C30CA">
        <w:rPr>
          <w:rFonts w:ascii="Arial" w:hAnsi="Arial" w:cs="Arial"/>
          <w:sz w:val="22"/>
          <w:szCs w:val="22"/>
        </w:rPr>
        <w:t xml:space="preserve">Give all eliminating entries </w:t>
      </w:r>
      <w:r w:rsidR="004333BE">
        <w:rPr>
          <w:rFonts w:ascii="Arial" w:hAnsi="Arial" w:cs="Arial"/>
          <w:sz w:val="22"/>
          <w:szCs w:val="22"/>
        </w:rPr>
        <w:t xml:space="preserve">(1-5 below) </w:t>
      </w:r>
      <w:r w:rsidRPr="008C30CA">
        <w:rPr>
          <w:rFonts w:ascii="Arial" w:hAnsi="Arial" w:cs="Arial"/>
          <w:sz w:val="22"/>
          <w:szCs w:val="22"/>
        </w:rPr>
        <w:t>needed to prepare a three-part consolidation workpaper as of December</w:t>
      </w:r>
      <w:r>
        <w:rPr>
          <w:rFonts w:ascii="Arial" w:hAnsi="Arial" w:cs="Arial"/>
          <w:sz w:val="22"/>
          <w:szCs w:val="22"/>
        </w:rPr>
        <w:t xml:space="preserve"> </w:t>
      </w:r>
      <w:r w:rsidRPr="008C30CA">
        <w:rPr>
          <w:rFonts w:ascii="Arial" w:hAnsi="Arial" w:cs="Arial"/>
          <w:sz w:val="22"/>
          <w:szCs w:val="22"/>
        </w:rPr>
        <w:t>31, 20X9.</w:t>
      </w:r>
    </w:p>
    <w:p w:rsidR="00D731EE" w:rsidRDefault="00D731EE" w:rsidP="00234469">
      <w:pPr>
        <w:contextualSpacing/>
      </w:pPr>
    </w:p>
    <w:p w:rsidR="00234469" w:rsidRDefault="00234469" w:rsidP="00234469">
      <w:pPr>
        <w:pStyle w:val="ListParagraph"/>
        <w:numPr>
          <w:ilvl w:val="0"/>
          <w:numId w:val="1"/>
        </w:numPr>
      </w:pPr>
      <w:r>
        <w:t>Eliminate income from subsidiary.</w:t>
      </w:r>
      <w:r>
        <w:tab/>
      </w:r>
      <w:r>
        <w:tab/>
      </w:r>
    </w:p>
    <w:p w:rsidR="00234469" w:rsidRDefault="00234469" w:rsidP="00234469">
      <w:pPr>
        <w:contextualSpacing/>
      </w:pPr>
      <w:r>
        <w:tab/>
      </w:r>
      <w:r>
        <w:tab/>
      </w:r>
      <w:r>
        <w:tab/>
      </w:r>
    </w:p>
    <w:p w:rsidR="00234469" w:rsidRDefault="00234469" w:rsidP="00234469">
      <w:pPr>
        <w:pStyle w:val="ListParagraph"/>
        <w:numPr>
          <w:ilvl w:val="0"/>
          <w:numId w:val="1"/>
        </w:numPr>
      </w:pPr>
      <w:r>
        <w:t>Assign income to noncontrolling interest.</w:t>
      </w:r>
      <w:r>
        <w:tab/>
      </w:r>
      <w:r>
        <w:tab/>
      </w:r>
    </w:p>
    <w:p w:rsidR="00234469" w:rsidRDefault="00234469" w:rsidP="00234469">
      <w:pPr>
        <w:contextualSpacing/>
      </w:pPr>
      <w:r>
        <w:tab/>
      </w:r>
      <w:r>
        <w:tab/>
      </w:r>
      <w:r>
        <w:tab/>
      </w:r>
    </w:p>
    <w:p w:rsidR="00234469" w:rsidRDefault="00234469" w:rsidP="00234469">
      <w:pPr>
        <w:pStyle w:val="ListParagraph"/>
        <w:numPr>
          <w:ilvl w:val="0"/>
          <w:numId w:val="1"/>
        </w:numPr>
      </w:pPr>
      <w:r>
        <w:t>Eliminate beginning investment balance.</w:t>
      </w:r>
      <w:r>
        <w:tab/>
      </w:r>
      <w:r>
        <w:tab/>
      </w:r>
    </w:p>
    <w:p w:rsidR="00234469" w:rsidRDefault="00234469" w:rsidP="00234469">
      <w:pPr>
        <w:contextualSpacing/>
      </w:pPr>
      <w:r>
        <w:tab/>
      </w:r>
      <w:r>
        <w:tab/>
      </w:r>
      <w:r>
        <w:tab/>
      </w:r>
    </w:p>
    <w:p w:rsidR="00234469" w:rsidRDefault="00234469" w:rsidP="00234469">
      <w:pPr>
        <w:pStyle w:val="ListParagraph"/>
        <w:numPr>
          <w:ilvl w:val="0"/>
          <w:numId w:val="1"/>
        </w:numPr>
      </w:pPr>
      <w:r>
        <w:t>Assign beginning differential.</w:t>
      </w:r>
      <w:r>
        <w:tab/>
      </w:r>
      <w:r>
        <w:tab/>
      </w:r>
    </w:p>
    <w:p w:rsidR="00234469" w:rsidRDefault="00234469" w:rsidP="00234469">
      <w:pPr>
        <w:contextualSpacing/>
      </w:pPr>
      <w:r>
        <w:tab/>
      </w:r>
      <w:r>
        <w:tab/>
      </w:r>
      <w:r>
        <w:tab/>
      </w:r>
    </w:p>
    <w:p w:rsidR="00D731EE" w:rsidRDefault="00971C07" w:rsidP="00234469">
      <w:pPr>
        <w:pStyle w:val="ListParagraph"/>
        <w:numPr>
          <w:ilvl w:val="0"/>
          <w:numId w:val="1"/>
        </w:numPr>
      </w:pPr>
      <w:r>
        <w:lastRenderedPageBreak/>
        <w:t>Amortize differential.</w:t>
      </w:r>
    </w:p>
    <w:p w:rsidR="00D731EE" w:rsidRDefault="00D731EE" w:rsidP="00234469">
      <w:pPr>
        <w:contextualSpacing/>
      </w:pPr>
    </w:p>
    <w:p w:rsidR="00D731EE" w:rsidRDefault="00D731EE" w:rsidP="00234469">
      <w:pPr>
        <w:contextualSpacing/>
      </w:pPr>
    </w:p>
    <w:p w:rsidR="002460DB" w:rsidRDefault="002460DB" w:rsidP="00234469">
      <w:pPr>
        <w:contextualSpacing/>
      </w:pPr>
    </w:p>
    <w:sectPr w:rsidR="002460DB" w:rsidSect="009056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E1902"/>
    <w:multiLevelType w:val="hybridMultilevel"/>
    <w:tmpl w:val="C1A0BD98"/>
    <w:lvl w:ilvl="0" w:tplc="4C62ADC4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D731EE"/>
    <w:rsid w:val="00234469"/>
    <w:rsid w:val="002460DB"/>
    <w:rsid w:val="004333BE"/>
    <w:rsid w:val="005705EC"/>
    <w:rsid w:val="008851EE"/>
    <w:rsid w:val="00905618"/>
    <w:rsid w:val="00971C07"/>
    <w:rsid w:val="009D03A9"/>
    <w:rsid w:val="00B63FBF"/>
    <w:rsid w:val="00D7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1EE"/>
    <w:pPr>
      <w:spacing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Lila Davis</dc:creator>
  <cp:lastModifiedBy>Lila Davis</cp:lastModifiedBy>
  <cp:revision>4</cp:revision>
  <dcterms:created xsi:type="dcterms:W3CDTF">2010-06-04T19:15:00Z</dcterms:created>
  <dcterms:modified xsi:type="dcterms:W3CDTF">2010-06-06T00:19:00Z</dcterms:modified>
</cp:coreProperties>
</file>