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  <w:r>
        <w:rPr>
          <w:rFonts w:ascii="Avenir-Black" w:hAnsi="Avenir-Black" w:cs="Avenir-Black"/>
          <w:color w:val="000000"/>
        </w:rPr>
        <w:t>A4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436A90"/>
          <w:sz w:val="39"/>
          <w:szCs w:val="39"/>
        </w:rPr>
      </w:pPr>
      <w:r>
        <w:rPr>
          <w:rFonts w:ascii="TradeGothic-Bold" w:hAnsi="TradeGothic-Bold" w:cs="TradeGothic-Bold"/>
          <w:b/>
          <w:bCs/>
          <w:color w:val="436A90"/>
          <w:sz w:val="39"/>
          <w:szCs w:val="39"/>
        </w:rPr>
        <w:t>Consolidated Statement of Income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3"/>
          <w:szCs w:val="13"/>
        </w:rPr>
      </w:pPr>
      <w:r>
        <w:rPr>
          <w:rFonts w:ascii="TradeGothic-CondEighteen" w:hAnsi="TradeGothic-CondEighteen" w:cs="TradeGothic-CondEighteen"/>
          <w:color w:val="000000"/>
          <w:sz w:val="13"/>
          <w:szCs w:val="13"/>
        </w:rPr>
        <w:t>PepsiCo, Inc. and Subsidiaries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3"/>
          <w:szCs w:val="13"/>
        </w:rPr>
      </w:pPr>
      <w:r>
        <w:rPr>
          <w:rFonts w:ascii="TradeGothic-CondEighteen" w:hAnsi="TradeGothic-CondEighteen" w:cs="TradeGothic-CondEighteen"/>
          <w:color w:val="000000"/>
          <w:sz w:val="13"/>
          <w:szCs w:val="13"/>
        </w:rPr>
        <w:t>Fiscal years ended                                                                                       December 31, 2005,       December 25, 2004         December 27, 2003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FFFFFF"/>
          <w:sz w:val="16"/>
          <w:szCs w:val="16"/>
        </w:rPr>
      </w:pPr>
      <w:r>
        <w:rPr>
          <w:rFonts w:ascii="TradeGothic-CondEighteen" w:hAnsi="TradeGothic-CondEighteen" w:cs="TradeGothic-CondEighteen"/>
          <w:color w:val="FFFFFF"/>
          <w:sz w:val="16"/>
          <w:szCs w:val="16"/>
        </w:rPr>
        <w:t>(</w:t>
      </w:r>
      <w:proofErr w:type="gramStart"/>
      <w:r>
        <w:rPr>
          <w:rFonts w:ascii="TradeGothic-CondEighteen" w:hAnsi="TradeGothic-CondEighteen" w:cs="TradeGothic-CondEighteen"/>
          <w:color w:val="FFFFFF"/>
          <w:sz w:val="16"/>
          <w:szCs w:val="16"/>
        </w:rPr>
        <w:t>in</w:t>
      </w:r>
      <w:proofErr w:type="gramEnd"/>
      <w:r>
        <w:rPr>
          <w:rFonts w:ascii="TradeGothic-CondEighteen" w:hAnsi="TradeGothic-CondEighteen" w:cs="TradeGothic-CondEighteen"/>
          <w:color w:val="FFFFFF"/>
          <w:sz w:val="16"/>
          <w:szCs w:val="16"/>
        </w:rPr>
        <w:t xml:space="preserve"> millions except per share amounts) </w:t>
      </w:r>
      <w:r>
        <w:rPr>
          <w:rFonts w:ascii="TradeGothic-BoldCondTwenty" w:hAnsi="TradeGothic-BoldCondTwenty" w:cs="TradeGothic-BoldCondTwenty"/>
          <w:b/>
          <w:bCs/>
          <w:color w:val="FFFFFF"/>
          <w:sz w:val="16"/>
          <w:szCs w:val="16"/>
        </w:rPr>
        <w:t xml:space="preserve">2005 </w:t>
      </w:r>
      <w:r>
        <w:rPr>
          <w:rFonts w:ascii="TradeGothic-CondEighteen" w:hAnsi="TradeGothic-CondEighteen" w:cs="TradeGothic-CondEighteen"/>
          <w:color w:val="FFFFFF"/>
          <w:sz w:val="16"/>
          <w:szCs w:val="16"/>
        </w:rPr>
        <w:t>2004 2003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Net Revenue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$32,562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$29,261                 $26,971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Cost of sales...........................................................................................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14,176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12,674                  11,691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Selling, general and administrative expenses 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12,314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11,031                 10,148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Amortization of intangible assets.............................................................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150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147                          145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Restructuring and impairment charges....................................................                 150                          147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Merger-related costs...............................................................................................................                    59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Operating Profit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5,922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5,259                    4,781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Bottling equity income.............................................................................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557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380                       323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Interest expense.....................................................................................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(256)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(167)                   (163)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Interest income.........................................................................................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159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74                            51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Income from Continuing Operations before Income Taxes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6,382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5,546                     4,992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Provision for Income Taxes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2,304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1,372                    1,424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Income from Continuing Operations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4,078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4,174                     3,568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Tax Benefit from Discontinued Operations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....................................................................38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Net Income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$ 4,078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$ 4,212                   $ 3,568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Net Income per Common Share — Basic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Continuing operations 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$2.43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$2.45                      $2.07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Discontinued operations....................................................................................................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0.02 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Total ...........................................................................................................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$2.43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$2.47                        $2.07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Net Income per Common Share — Diluted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Continuing operations ...............................................................................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$2.39    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$2.41                        $2.05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Discontinued operations....................................................................................................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0.02 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Total ........................................................................................................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$2.39   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$2.44*                                $2.05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3"/>
          <w:szCs w:val="13"/>
        </w:rPr>
      </w:pPr>
      <w:r>
        <w:rPr>
          <w:rFonts w:ascii="TradeGothic-CondEighteen" w:hAnsi="TradeGothic-CondEighteen" w:cs="TradeGothic-CondEighteen"/>
          <w:color w:val="000000"/>
          <w:sz w:val="13"/>
          <w:szCs w:val="13"/>
        </w:rPr>
        <w:t>* Based on unrounded amounts.</w:t>
      </w:r>
    </w:p>
    <w:p w:rsidR="00DE2E36" w:rsidRPr="00F9690F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3"/>
          <w:szCs w:val="13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000000"/>
          <w:sz w:val="16"/>
          <w:szCs w:val="16"/>
        </w:rPr>
        <w:t>Net Revenue Operating Profit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  <w:r>
        <w:rPr>
          <w:rFonts w:ascii="TradeGothic-BoldCondTwenty" w:hAnsi="TradeGothic-BoldCondTwenty" w:cs="TradeGothic-BoldCondTwenty"/>
          <w:b/>
          <w:bCs/>
          <w:color w:val="000000"/>
          <w:sz w:val="16"/>
          <w:szCs w:val="16"/>
        </w:rPr>
        <w:t>Income from Continuing Operations Net Income per Common Share — Continuing Operations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Pr="00F9690F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Avenir-Black" w:hAnsi="Avenir-Black" w:cs="Avenir-Black"/>
          <w:noProof/>
          <w:color w:val="000000"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00000"/>
          <w:sz w:val="20"/>
          <w:szCs w:val="20"/>
        </w:rPr>
      </w:pPr>
      <w:r>
        <w:rPr>
          <w:rFonts w:ascii="Avenir-Black" w:hAnsi="Avenir-Black" w:cs="Avenir-Black"/>
          <w:color w:val="000000"/>
        </w:rPr>
        <w:t xml:space="preserve">A6 </w:t>
      </w:r>
      <w:r>
        <w:rPr>
          <w:rFonts w:ascii="Avenir-Heavy" w:hAnsi="Avenir-Heavy" w:cs="Avenir-Heavy"/>
          <w:color w:val="000000"/>
          <w:sz w:val="20"/>
          <w:szCs w:val="20"/>
        </w:rPr>
        <w:t xml:space="preserve">Appendix </w:t>
      </w:r>
      <w:proofErr w:type="gramStart"/>
      <w:r>
        <w:rPr>
          <w:rFonts w:ascii="Avenir-Heavy" w:hAnsi="Avenir-Heavy" w:cs="Avenir-Heavy"/>
          <w:color w:val="000000"/>
          <w:sz w:val="20"/>
          <w:szCs w:val="20"/>
        </w:rPr>
        <w:t>A</w:t>
      </w:r>
      <w:proofErr w:type="gramEnd"/>
      <w:r>
        <w:rPr>
          <w:rFonts w:ascii="Avenir-Heavy" w:hAnsi="Avenir-Heavy" w:cs="Avenir-Heavy"/>
          <w:color w:val="000000"/>
          <w:sz w:val="20"/>
          <w:szCs w:val="20"/>
        </w:rPr>
        <w:t xml:space="preserve"> Specimen Financial Statements: PepsiCo, Inc.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" w:hAnsi="TradeGothic-Bold" w:cs="TradeGothic-Bold"/>
          <w:b/>
          <w:bCs/>
          <w:color w:val="436A90"/>
          <w:sz w:val="39"/>
          <w:szCs w:val="39"/>
        </w:rPr>
      </w:pPr>
      <w:r>
        <w:rPr>
          <w:rFonts w:ascii="TradeGothic-Bold" w:hAnsi="TradeGothic-Bold" w:cs="TradeGothic-Bold"/>
          <w:b/>
          <w:bCs/>
          <w:color w:val="436A90"/>
          <w:sz w:val="39"/>
          <w:szCs w:val="39"/>
        </w:rPr>
        <w:t>Consolidated Balance Sheet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3"/>
          <w:szCs w:val="13"/>
        </w:rPr>
      </w:pPr>
      <w:r>
        <w:rPr>
          <w:rFonts w:ascii="TradeGothic-CondEighteen" w:hAnsi="TradeGothic-CondEighteen" w:cs="TradeGothic-CondEighteen"/>
          <w:color w:val="000000"/>
          <w:sz w:val="13"/>
          <w:szCs w:val="13"/>
        </w:rPr>
        <w:t>PepsiCo, Inc. and Subsidiaries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3"/>
          <w:szCs w:val="13"/>
        </w:rPr>
      </w:pPr>
      <w:r>
        <w:rPr>
          <w:rFonts w:ascii="TradeGothic-CondEighteen" w:hAnsi="TradeGothic-CondEighteen" w:cs="TradeGothic-CondEighteen"/>
          <w:color w:val="000000"/>
          <w:sz w:val="13"/>
          <w:szCs w:val="13"/>
        </w:rPr>
        <w:t xml:space="preserve">                    December 31, 2005 and                                                                                                                                                                                                                December 25</w:t>
      </w:r>
      <w:proofErr w:type="gramStart"/>
      <w:r>
        <w:rPr>
          <w:rFonts w:ascii="TradeGothic-CondEighteen" w:hAnsi="TradeGothic-CondEighteen" w:cs="TradeGothic-CondEighteen"/>
          <w:color w:val="000000"/>
          <w:sz w:val="13"/>
          <w:szCs w:val="13"/>
        </w:rPr>
        <w:t>,2004</w:t>
      </w:r>
      <w:proofErr w:type="gramEnd"/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FFFFFF"/>
          <w:sz w:val="16"/>
          <w:szCs w:val="16"/>
        </w:rPr>
      </w:pPr>
      <w:r>
        <w:rPr>
          <w:rFonts w:ascii="TradeGothic-CondEighteen" w:hAnsi="TradeGothic-CondEighteen" w:cs="TradeGothic-CondEighteen"/>
          <w:color w:val="FFFFFF"/>
          <w:sz w:val="16"/>
          <w:szCs w:val="16"/>
        </w:rPr>
        <w:t>(</w:t>
      </w:r>
      <w:proofErr w:type="gramStart"/>
      <w:r>
        <w:rPr>
          <w:rFonts w:ascii="TradeGothic-CondEighteen" w:hAnsi="TradeGothic-CondEighteen" w:cs="TradeGothic-CondEighteen"/>
          <w:color w:val="FFFFFF"/>
          <w:sz w:val="16"/>
          <w:szCs w:val="16"/>
        </w:rPr>
        <w:t>in</w:t>
      </w:r>
      <w:proofErr w:type="gramEnd"/>
      <w:r>
        <w:rPr>
          <w:rFonts w:ascii="TradeGothic-CondEighteen" w:hAnsi="TradeGothic-CondEighteen" w:cs="TradeGothic-CondEighteen"/>
          <w:color w:val="FFFFFF"/>
          <w:sz w:val="16"/>
          <w:szCs w:val="16"/>
        </w:rPr>
        <w:t xml:space="preserve"> millions except per share amounts) </w:t>
      </w:r>
      <w:r>
        <w:rPr>
          <w:rFonts w:ascii="TradeGothic-BoldCondTwenty" w:hAnsi="TradeGothic-BoldCondTwenty" w:cs="TradeGothic-BoldCondTwenty"/>
          <w:b/>
          <w:bCs/>
          <w:color w:val="FFFFFF"/>
          <w:sz w:val="16"/>
          <w:szCs w:val="16"/>
        </w:rPr>
        <w:t xml:space="preserve">2005 </w:t>
      </w:r>
      <w:r>
        <w:rPr>
          <w:rFonts w:ascii="TradeGothic-CondEighteen" w:hAnsi="TradeGothic-CondEighteen" w:cs="TradeGothic-CondEighteen"/>
          <w:color w:val="FFFFFF"/>
          <w:sz w:val="16"/>
          <w:szCs w:val="16"/>
        </w:rPr>
        <w:t>2004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ASSETS                                                                                                                                                               2005           2004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Current Assets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Cash and cash equivalents..................................................................................................................................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$ 1,716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$ 1,280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Short-term investments 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3,166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2,165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4,882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3,445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Accounts and notes receivable, net.......................................................................................................................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3,261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2,999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Inventories............................................................................................................................................................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1,693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1,541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Prepaid expenses and other current assets...........................................................................................................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618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654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Total Current </w:t>
      </w:r>
      <w:proofErr w:type="gram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Assets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10,454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8,639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Property, Plant and Equipment, </w:t>
      </w:r>
      <w:proofErr w:type="gram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net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8,681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8,149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Amortizable Intangible Assets, net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530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598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Goodwill................................................................................................................................................................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4,088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3,909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Other </w:t>
      </w:r>
      <w:proofErr w:type="spellStart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nonamortizable</w:t>
      </w:r>
      <w:proofErr w:type="spell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intangible assets................................................................................................................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1,086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933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proofErr w:type="spell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Nonamortizable</w:t>
      </w:r>
      <w:proofErr w:type="spellEnd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 Intangible Assets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5,174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4,842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Investments in </w:t>
      </w:r>
      <w:proofErr w:type="spell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Noncontrolled</w:t>
      </w:r>
      <w:proofErr w:type="spellEnd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 </w:t>
      </w:r>
      <w:proofErr w:type="gram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Affiliates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3,485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3,284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Other </w:t>
      </w:r>
      <w:proofErr w:type="gram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Assets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3,403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2,475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Total Assets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$31,727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$27,987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LIABILITIES AND SHAREHOLDERS’ EQUITY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Current Liabilities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Short-term </w:t>
      </w:r>
      <w:proofErr w:type="gramStart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obligations .........................................................................................................................................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$ 2,889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$ 1,054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Accounts payable and other current liabilities......................................................................................................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5,971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5,599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Income taxes payable...........................................................................................................................................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546   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99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Total Current Liabilities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9,406   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6,752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Long-Term Debt Obligations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2,313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2,397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Other Liabilities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4,323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4,099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Deferred Income Taxes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1,434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1,216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Total Liabilities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17,476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14,464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Commitments and Contingencies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Preferred Stock, no par </w:t>
      </w:r>
      <w:proofErr w:type="gram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value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41                    </w:t>
      </w:r>
      <w:proofErr w:type="spellStart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41</w:t>
      </w:r>
      <w:proofErr w:type="spellEnd"/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Repurchased Preferred Stock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(110)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(90)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>Common Shareholders’ Equity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Common stock, par value 1 2/3¢ per share (issued 1,782 shares).......................................................................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30                      </w:t>
      </w:r>
      <w:proofErr w:type="spellStart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30</w:t>
      </w:r>
      <w:proofErr w:type="spellEnd"/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Capital in excess of par value..............................................................................................................................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614        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618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Retained earnings ................................................................................................................................................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21,116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18,730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Accumulated other comprehensive </w:t>
      </w:r>
      <w:proofErr w:type="gramStart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loss ................................................................................................................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(1,053)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(886)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20,707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18,492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Less: repurchased common stock, at cost (126 and 103 shares, respectively</w:t>
      </w:r>
      <w:proofErr w:type="gramStart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) 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(6,387)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(4,920)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Total Common Shareholders’ </w:t>
      </w:r>
      <w:proofErr w:type="gramStart"/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Equity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..............................................................................................................</w:t>
      </w:r>
      <w:proofErr w:type="gramEnd"/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14,320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13,572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radeGothic-CondEighteen" w:hAnsi="TradeGothic-CondEighteen" w:cs="TradeGothic-CondEighteen"/>
          <w:color w:val="000000"/>
          <w:sz w:val="16"/>
          <w:szCs w:val="16"/>
        </w:rPr>
      </w:pP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Total Liabilities and Shareholders’ Equity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 xml:space="preserve">................................................................................................ </w:t>
      </w:r>
      <w:r>
        <w:rPr>
          <w:rFonts w:ascii="TradeGothic-BoldCondTwenty" w:hAnsi="TradeGothic-BoldCondTwenty" w:cs="TradeGothic-BoldCondTwenty"/>
          <w:b/>
          <w:bCs/>
          <w:color w:val="436A90"/>
          <w:sz w:val="16"/>
          <w:szCs w:val="16"/>
        </w:rPr>
        <w:t xml:space="preserve">$31,727               </w:t>
      </w:r>
      <w:r>
        <w:rPr>
          <w:rFonts w:ascii="TradeGothic-CondEighteen" w:hAnsi="TradeGothic-CondEighteen" w:cs="TradeGothic-CondEighteen"/>
          <w:color w:val="000000"/>
          <w:sz w:val="16"/>
          <w:szCs w:val="16"/>
        </w:rPr>
        <w:t>$27,987</w:t>
      </w:r>
    </w:p>
    <w:p w:rsidR="00DE2E36" w:rsidRDefault="00DE2E36" w:rsidP="00DE2E36">
      <w:pPr>
        <w:rPr>
          <w:rFonts w:ascii="TradeGothic-CondEighteen" w:hAnsi="TradeGothic-CondEighteen" w:cs="TradeGothic-CondEighteen"/>
          <w:color w:val="000000"/>
          <w:sz w:val="13"/>
          <w:szCs w:val="13"/>
        </w:rPr>
      </w:pPr>
    </w:p>
    <w:p w:rsidR="00DE2E36" w:rsidRDefault="00DE2E36" w:rsidP="00DE2E36">
      <w:pPr>
        <w:rPr>
          <w:rFonts w:ascii="TradeGothic-CondEighteen" w:hAnsi="TradeGothic-CondEighteen" w:cs="TradeGothic-CondEighteen"/>
          <w:color w:val="000000"/>
          <w:sz w:val="13"/>
          <w:szCs w:val="13"/>
        </w:rPr>
      </w:pPr>
    </w:p>
    <w:p w:rsidR="00DE2E36" w:rsidRDefault="00DE2E36" w:rsidP="00DE2E36">
      <w:pPr>
        <w:rPr>
          <w:rFonts w:ascii="TradeGothic-CondEighteen" w:hAnsi="TradeGothic-CondEighteen" w:cs="TradeGothic-CondEighteen"/>
          <w:color w:val="000000"/>
          <w:sz w:val="13"/>
          <w:szCs w:val="13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  <w:sz w:val="48"/>
          <w:szCs w:val="48"/>
        </w:rPr>
      </w:pPr>
      <w:r>
        <w:rPr>
          <w:rFonts w:ascii="Avenir-Black" w:hAnsi="Avenir-Black" w:cs="Avenir-Black"/>
          <w:color w:val="000000"/>
          <w:sz w:val="48"/>
          <w:szCs w:val="48"/>
        </w:rPr>
        <w:t>SPECIMEN FINANCIAL STATEMENTS: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Light" w:hAnsi="Avenir-Light" w:cs="Avenir-Light"/>
          <w:color w:val="000000"/>
          <w:sz w:val="80"/>
          <w:szCs w:val="80"/>
        </w:rPr>
      </w:pPr>
      <w:r>
        <w:rPr>
          <w:rFonts w:ascii="Avenir-Light" w:hAnsi="Avenir-Light" w:cs="Avenir-Light"/>
          <w:color w:val="000000"/>
          <w:sz w:val="80"/>
          <w:szCs w:val="80"/>
        </w:rPr>
        <w:t>The Coca-Cola Company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FFCC04"/>
          <w:sz w:val="100"/>
          <w:szCs w:val="100"/>
        </w:rPr>
      </w:pPr>
      <w:proofErr w:type="spellStart"/>
      <w:r>
        <w:rPr>
          <w:rFonts w:ascii="Avenir-HeavyOblique" w:hAnsi="Avenir-HeavyOblique" w:cs="Avenir-HeavyOblique"/>
          <w:i/>
          <w:iCs/>
          <w:color w:val="FFFFFF"/>
          <w:sz w:val="40"/>
          <w:szCs w:val="40"/>
        </w:rPr>
        <w:t>Appendix</w:t>
      </w:r>
      <w:r>
        <w:rPr>
          <w:rFonts w:ascii="Avenir-Black" w:hAnsi="Avenir-Black" w:cs="Avenir-Black"/>
          <w:color w:val="FFCC04"/>
          <w:sz w:val="100"/>
          <w:szCs w:val="100"/>
        </w:rPr>
        <w:t>B</w:t>
      </w:r>
      <w:proofErr w:type="spellEnd"/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0000"/>
        </w:rPr>
      </w:pPr>
      <w:r>
        <w:rPr>
          <w:rFonts w:ascii="Avenir-Black" w:hAnsi="Avenir-Black" w:cs="Avenir-Black"/>
          <w:color w:val="000000"/>
        </w:rPr>
        <w:t>B1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>THE COCA-COLA COMPANY AND SUBSIDIARIES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>CONSOLIDATED STATEMENTS OF INCOME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5"/>
          <w:szCs w:val="15"/>
        </w:rPr>
      </w:pPr>
      <w:r>
        <w:rPr>
          <w:rFonts w:ascii="Dutch801BT-Roman" w:hAnsi="Dutch801BT-Roman" w:cs="Dutch801BT-Roman"/>
          <w:color w:val="000000"/>
          <w:sz w:val="15"/>
          <w:szCs w:val="15"/>
        </w:rPr>
        <w:t xml:space="preserve">Year Ended December 31, 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15"/>
          <w:szCs w:val="15"/>
        </w:rPr>
        <w:t xml:space="preserve">2005                                                     </w:t>
      </w:r>
      <w:r>
        <w:rPr>
          <w:rFonts w:ascii="Dutch801BT-Roman" w:hAnsi="Dutch801BT-Roman" w:cs="Dutch801BT-Roman"/>
          <w:color w:val="000000"/>
          <w:sz w:val="15"/>
          <w:szCs w:val="15"/>
        </w:rPr>
        <w:t>2004                                            2003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5"/>
          <w:szCs w:val="15"/>
        </w:rPr>
      </w:pPr>
      <w:r>
        <w:rPr>
          <w:rFonts w:ascii="Dutch801BT-Roman" w:hAnsi="Dutch801BT-Roman" w:cs="Dutch801BT-Roman"/>
          <w:color w:val="000000"/>
          <w:sz w:val="15"/>
          <w:szCs w:val="15"/>
        </w:rPr>
        <w:t>(In millions except per share data)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NET OPERATING REVENUES                  $ 23,104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$ 21,742                          $ 20,857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Cost of goods sold     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8,195   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7,674                              7,776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GROSS PROFIT                                          14,909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14,068                                 13,081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Selling, general and administrative expenses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8,739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7,890                                      7,287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Other operating charges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85 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480                                       573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OPERATING INCOME                                    6,085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5,698                                      5,221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Interest income   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235 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157                                          176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Interest expense    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240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196                                        178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Equity income — net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680 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621                                         406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Other loss — net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(93)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(82)                                         (138)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Gains on issuances of stock by equity investees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23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24                                               8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INCOME BEFORE INCOME TAXES             6,690 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6,222                                   5,495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Income taxes       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1,818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1,375                                     1,148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NET INCOME                                                 $ 4,872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$ 4,847                                 $4,347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BASIC NET INCOME PER SHARE                $ 2.04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$ 2.00                                $ 1.77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DILUTED NET INCOME PER SHARE          $ 2.04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$ 2.00                                      $1.77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AVERAGE SHARES OUTSTANDING           2,392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>2,426                                    2,459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 xml:space="preserve">Effect of dilutive securities                               </w:t>
      </w: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1                                           </w:t>
      </w:r>
      <w:r>
        <w:rPr>
          <w:rFonts w:ascii="Dutch801BT-Roman" w:hAnsi="Dutch801BT-Roman" w:cs="Dutch801BT-Roman"/>
          <w:color w:val="000000"/>
          <w:sz w:val="20"/>
          <w:szCs w:val="20"/>
        </w:rPr>
        <w:t xml:space="preserve">3                                     </w:t>
      </w:r>
      <w:proofErr w:type="spellStart"/>
      <w:r>
        <w:rPr>
          <w:rFonts w:ascii="Dutch801BT-Roman" w:hAnsi="Dutch801BT-Roman" w:cs="Dutch801BT-Roman"/>
          <w:color w:val="000000"/>
          <w:sz w:val="20"/>
          <w:szCs w:val="20"/>
        </w:rPr>
        <w:t>3</w:t>
      </w:r>
      <w:proofErr w:type="spellEnd"/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 xml:space="preserve">AVERAGE SHARES OUTSTANDING ASSUMING DILUTION 2,393    </w:t>
      </w:r>
      <w:r>
        <w:rPr>
          <w:rFonts w:ascii="Dutch801BT-Roman" w:hAnsi="Dutch801BT-Roman" w:cs="Dutch801BT-Roman"/>
          <w:color w:val="000000"/>
          <w:sz w:val="20"/>
          <w:szCs w:val="20"/>
        </w:rPr>
        <w:t>2,429                               2,462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20"/>
          <w:szCs w:val="20"/>
        </w:rPr>
      </w:pPr>
      <w:r>
        <w:rPr>
          <w:rFonts w:ascii="Dutch801BT-Roman" w:hAnsi="Dutch801BT-Roman" w:cs="Dutch801BT-Roman"/>
          <w:color w:val="000000"/>
          <w:sz w:val="20"/>
          <w:szCs w:val="20"/>
        </w:rPr>
        <w:t>Refer to Notes to Consolidated Financial Statements.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  <w:r>
        <w:rPr>
          <w:rFonts w:ascii="TimesTen-Roman" w:eastAsia="TimesTen-Roman" w:hAnsi="Avenir-Black" w:cs="TimesTen-Roman"/>
          <w:color w:val="000000"/>
          <w:sz w:val="17"/>
          <w:szCs w:val="17"/>
        </w:rPr>
        <w:t>The financial information herein is reprinted with permission from The Coca-Cola Company 2005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  <w:proofErr w:type="gramStart"/>
      <w:r>
        <w:rPr>
          <w:rFonts w:ascii="TimesTen-Roman" w:eastAsia="TimesTen-Roman" w:hAnsi="Avenir-Black" w:cs="TimesTen-Roman"/>
          <w:color w:val="000000"/>
          <w:sz w:val="17"/>
          <w:szCs w:val="17"/>
        </w:rPr>
        <w:t>Annual Report.</w:t>
      </w:r>
      <w:proofErr w:type="gramEnd"/>
      <w:r>
        <w:rPr>
          <w:rFonts w:ascii="TimesTen-Roman" w:eastAsia="TimesTen-Roman" w:hAnsi="Avenir-Black" w:cs="TimesTen-Roman"/>
          <w:color w:val="000000"/>
          <w:sz w:val="17"/>
          <w:szCs w:val="17"/>
        </w:rPr>
        <w:t xml:space="preserve"> The accompanying Notes are an integral part of the consolidated financial statements.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  <w:r>
        <w:rPr>
          <w:rFonts w:ascii="TimesTen-Roman" w:eastAsia="TimesTen-Roman" w:hAnsi="Avenir-Black" w:cs="TimesTen-Roman"/>
          <w:color w:val="000000"/>
          <w:sz w:val="17"/>
          <w:szCs w:val="17"/>
        </w:rPr>
        <w:t>The complete financial statements are available through a link at the book</w:t>
      </w:r>
      <w:r>
        <w:rPr>
          <w:rFonts w:ascii="TimesTen-Roman" w:eastAsia="TimesTen-Roman" w:hAnsi="Avenir-Black" w:cs="TimesTen-Roman" w:hint="eastAsia"/>
          <w:color w:val="000000"/>
          <w:sz w:val="17"/>
          <w:szCs w:val="17"/>
        </w:rPr>
        <w:t>’</w:t>
      </w:r>
      <w:r>
        <w:rPr>
          <w:rFonts w:ascii="TimesTen-Roman" w:eastAsia="TimesTen-Roman" w:hAnsi="Avenir-Black" w:cs="TimesTen-Roman"/>
          <w:color w:val="000000"/>
          <w:sz w:val="17"/>
          <w:szCs w:val="17"/>
        </w:rPr>
        <w:t>s companion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  <w:proofErr w:type="gramStart"/>
      <w:r>
        <w:rPr>
          <w:rFonts w:ascii="TimesTen-Roman" w:eastAsia="TimesTen-Roman" w:hAnsi="Avenir-Black" w:cs="TimesTen-Roman"/>
          <w:color w:val="000000"/>
          <w:sz w:val="17"/>
          <w:szCs w:val="17"/>
        </w:rPr>
        <w:t>website</w:t>
      </w:r>
      <w:proofErr w:type="gramEnd"/>
      <w:r>
        <w:rPr>
          <w:rFonts w:ascii="TimesTen-Roman" w:eastAsia="TimesTen-Roman" w:hAnsi="Avenir-Black" w:cs="TimesTen-Roman"/>
          <w:color w:val="000000"/>
          <w:sz w:val="17"/>
          <w:szCs w:val="17"/>
        </w:rPr>
        <w:t>.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TimesTen-Roman" w:eastAsia="TimesTen-Roman" w:hAnsi="Avenir-Black" w:cs="TimesTen-Roman"/>
          <w:color w:val="000000"/>
          <w:sz w:val="17"/>
          <w:szCs w:val="17"/>
        </w:rPr>
      </w:pP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000000"/>
          <w:sz w:val="20"/>
          <w:szCs w:val="20"/>
        </w:rPr>
      </w:pPr>
      <w:r>
        <w:rPr>
          <w:rFonts w:ascii="Avenir-Black" w:hAnsi="Avenir-Black" w:cs="Avenir-Black"/>
          <w:color w:val="000000"/>
        </w:rPr>
        <w:t xml:space="preserve">B2 </w:t>
      </w:r>
      <w:r>
        <w:rPr>
          <w:rFonts w:ascii="Avenir-Heavy" w:hAnsi="Avenir-Heavy" w:cs="Avenir-Heavy"/>
          <w:color w:val="000000"/>
          <w:sz w:val="20"/>
          <w:szCs w:val="20"/>
        </w:rPr>
        <w:t>Appendix B Specimen Financial Statements: The Coca-Cola Company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>THE COCA-COLA COMPANY AND SUBSIDIARIES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20"/>
          <w:szCs w:val="20"/>
        </w:rPr>
      </w:pPr>
      <w:r>
        <w:rPr>
          <w:rFonts w:ascii="Dutch801BT-Bold" w:hAnsi="Dutch801BT-Bold" w:cs="Dutch801BT-Bold"/>
          <w:b/>
          <w:bCs/>
          <w:color w:val="000000"/>
          <w:sz w:val="20"/>
          <w:szCs w:val="20"/>
        </w:rPr>
        <w:t>CONSOLIDATED BALANCE SHEETS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5"/>
          <w:szCs w:val="15"/>
        </w:rPr>
      </w:pPr>
      <w:r>
        <w:rPr>
          <w:rFonts w:ascii="Dutch801BT-Roman" w:hAnsi="Dutch801BT-Roman" w:cs="Dutch801BT-Roman"/>
          <w:color w:val="000000"/>
          <w:sz w:val="15"/>
          <w:szCs w:val="15"/>
        </w:rPr>
        <w:t xml:space="preserve">                                                                         December 31, </w:t>
      </w:r>
      <w:r>
        <w:rPr>
          <w:rFonts w:ascii="Dutch801BT-Bold" w:hAnsi="Dutch801BT-Bold" w:cs="Dutch801BT-Bold"/>
          <w:b/>
          <w:bCs/>
          <w:color w:val="000000"/>
          <w:sz w:val="15"/>
          <w:szCs w:val="15"/>
        </w:rPr>
        <w:t xml:space="preserve">2005                                                          </w:t>
      </w:r>
      <w:r>
        <w:rPr>
          <w:rFonts w:ascii="Dutch801BT-Roman" w:hAnsi="Dutch801BT-Roman" w:cs="Dutch801BT-Roman"/>
          <w:color w:val="000000"/>
          <w:sz w:val="15"/>
          <w:szCs w:val="15"/>
        </w:rPr>
        <w:t>2004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5"/>
          <w:szCs w:val="15"/>
        </w:rPr>
      </w:pPr>
      <w:r>
        <w:rPr>
          <w:rFonts w:ascii="Dutch801BT-Roman" w:hAnsi="Dutch801BT-Roman" w:cs="Dutch801BT-Roman"/>
          <w:color w:val="000000"/>
          <w:sz w:val="15"/>
          <w:szCs w:val="15"/>
        </w:rPr>
        <w:t>(In millions except par value)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>ASSETS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>CURRENT ASSETS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Cash and cash equivalents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$ 4,701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$ 6,707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Marketable securities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66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61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Trade accounts receivable, less allowances of $72 and $69, respectively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2,281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2,244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Inventories             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1,424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1,420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Prepaid expenses and other assets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1,778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1,849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TOTAL CURRENT ASSETS                             10,250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12,281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>INVESTMENTS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>Equity method investments: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Coca-Cola Enterprises Inc.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1,731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1,569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proofErr w:type="gramStart"/>
      <w:r>
        <w:rPr>
          <w:rFonts w:ascii="Dutch801BT-Roman" w:hAnsi="Dutch801BT-Roman" w:cs="Dutch801BT-Roman"/>
          <w:color w:val="000000"/>
          <w:sz w:val="19"/>
          <w:szCs w:val="19"/>
        </w:rPr>
        <w:t>Coca-Cola Hellenic Bottling Company S.A.</w:t>
      </w:r>
      <w:proofErr w:type="gramEnd"/>
      <w:r>
        <w:rPr>
          <w:rFonts w:ascii="Dutch801BT-Roman" w:hAnsi="Dutch801BT-Roman" w:cs="Dutch801BT-Roman"/>
          <w:color w:val="000000"/>
          <w:sz w:val="19"/>
          <w:szCs w:val="19"/>
        </w:rPr>
        <w:t xml:space="preserve">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1,039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1,067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Coca-Cola FEMSA, S.A. de C.V.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982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792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Coca-Cola </w:t>
      </w:r>
      <w:proofErr w:type="spellStart"/>
      <w:r>
        <w:rPr>
          <w:rFonts w:ascii="Dutch801BT-Roman" w:hAnsi="Dutch801BT-Roman" w:cs="Dutch801BT-Roman"/>
          <w:color w:val="000000"/>
          <w:sz w:val="19"/>
          <w:szCs w:val="19"/>
        </w:rPr>
        <w:t>Amatil</w:t>
      </w:r>
      <w:proofErr w:type="spellEnd"/>
      <w:r>
        <w:rPr>
          <w:rFonts w:ascii="Dutch801BT-Roman" w:hAnsi="Dutch801BT-Roman" w:cs="Dutch801BT-Roman"/>
          <w:color w:val="000000"/>
          <w:sz w:val="19"/>
          <w:szCs w:val="19"/>
        </w:rPr>
        <w:t xml:space="preserve"> Limited   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748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736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Other, principally bottling companies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2,062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1,733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Cost method investments, principally bottling companies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360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355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TOTAL INVESTMENTS                                       6,922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6,252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OTHER ASSETS                                                   2,648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2,981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PROPERTY, PLANT AND EQUIPMENT — net 5,786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6,091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TRADEMARKS WITH INDEFINITE LIVES         1,946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2,037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GOODWILL                                                           1,047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1,097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OTHER INTANGIBLE ASSETS                             828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702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TOTAL ASSETS                                                   $ 29,427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$ 31,441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>LIABILITIES AND SHAREOWNERS’ EQUITY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>CURRENT LIABILITIES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Accounts payable and accrued expenses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$ 4,493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$ 4,403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Loans and notes payable   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4,518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4,531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Current maturities of long-term debt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28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1,490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Accrued income taxes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797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709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TOTAL CURRENT LIABILITIES                        9,836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11,133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LONG-TERM DEBT                                           1,154  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1,157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OTHER LIABILITIES                                          1,730  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2,814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DEFERRED INCOME TAXES                               352 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402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Bold" w:hAnsi="Dutch801BT-Bold" w:cs="Dutch801BT-Bold"/>
          <w:b/>
          <w:bCs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>SHAREOWNERS’ EQUITY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>Common stock, $0.25 par value; Authorized — 5,600 shares;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Issued — 3,507 and 3,500 shares, respectively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877     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875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Capital surplus                                                      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5,492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4,928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Reinvested earnings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31,299 </w:t>
      </w:r>
      <w:r>
        <w:rPr>
          <w:rFonts w:ascii="Dutch801BT-Roman" w:hAnsi="Dutch801BT-Roman" w:cs="Dutch801BT-Roman"/>
          <w:color w:val="000000"/>
          <w:sz w:val="19"/>
          <w:szCs w:val="19"/>
        </w:rPr>
        <w:t>29,105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Accumulated other comprehensive income (loss)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(1,669)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(1,348)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Roman" w:hAnsi="Dutch801BT-Roman" w:cs="Dutch801BT-Roman"/>
          <w:color w:val="000000"/>
          <w:sz w:val="19"/>
          <w:szCs w:val="19"/>
        </w:rPr>
        <w:t xml:space="preserve">Treasury stock, at cost — 1,138 and 1,091 shares, respectively </w:t>
      </w: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(19,644)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(17,625)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TOTAL SHAREOWNERS’ EQUITY                     16,355             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15,935</w:t>
      </w:r>
    </w:p>
    <w:p w:rsidR="00DE2E36" w:rsidRDefault="00DE2E36" w:rsidP="00DE2E36">
      <w:pPr>
        <w:autoSpaceDE w:val="0"/>
        <w:autoSpaceDN w:val="0"/>
        <w:adjustRightInd w:val="0"/>
        <w:spacing w:after="0" w:line="240" w:lineRule="auto"/>
        <w:rPr>
          <w:rFonts w:ascii="Dutch801BT-Roman" w:hAnsi="Dutch801BT-Roman" w:cs="Dutch801BT-Roman"/>
          <w:color w:val="000000"/>
          <w:sz w:val="19"/>
          <w:szCs w:val="19"/>
        </w:rPr>
      </w:pPr>
      <w:r>
        <w:rPr>
          <w:rFonts w:ascii="Dutch801BT-Bold" w:hAnsi="Dutch801BT-Bold" w:cs="Dutch801BT-Bold"/>
          <w:b/>
          <w:bCs/>
          <w:color w:val="000000"/>
          <w:sz w:val="19"/>
          <w:szCs w:val="19"/>
        </w:rPr>
        <w:t xml:space="preserve">TOTAL LIABILITIES AND SHAREOWNERS’ EQUITY $ 29,427                                               </w:t>
      </w:r>
      <w:r>
        <w:rPr>
          <w:rFonts w:ascii="Dutch801BT-Roman" w:hAnsi="Dutch801BT-Roman" w:cs="Dutch801BT-Roman"/>
          <w:color w:val="000000"/>
          <w:sz w:val="19"/>
          <w:szCs w:val="19"/>
        </w:rPr>
        <w:t>$ 31,441</w:t>
      </w:r>
    </w:p>
    <w:p w:rsidR="00DF377A" w:rsidRDefault="00DF377A" w:rsidP="00DE2E36"/>
    <w:sectPr w:rsidR="00DF377A" w:rsidSect="00DF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CondEighte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Heavy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E2E36"/>
    <w:rsid w:val="00DE2E36"/>
    <w:rsid w:val="00D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2604</Words>
  <Characters>14849</Characters>
  <Application>Microsoft Office Word</Application>
  <DocSecurity>0</DocSecurity>
  <Lines>123</Lines>
  <Paragraphs>34</Paragraphs>
  <ScaleCrop>false</ScaleCrop>
  <Company>Toshiba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1</cp:revision>
  <dcterms:created xsi:type="dcterms:W3CDTF">2010-05-03T10:40:00Z</dcterms:created>
  <dcterms:modified xsi:type="dcterms:W3CDTF">2010-05-03T10:41:00Z</dcterms:modified>
</cp:coreProperties>
</file>