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A7" w:rsidRDefault="008C0842" w:rsidP="003A4CF6">
      <w:pPr>
        <w:rPr>
          <w:rFonts w:ascii="Times New Roman" w:hAnsi="Times New Roman" w:cs="Times New Roman"/>
          <w:sz w:val="24"/>
          <w:szCs w:val="24"/>
        </w:rPr>
      </w:pPr>
      <w:r w:rsidRPr="00471F47">
        <w:rPr>
          <w:rFonts w:ascii="Times New Roman" w:hAnsi="Times New Roman" w:cs="Times New Roman"/>
          <w:b/>
          <w:sz w:val="24"/>
          <w:szCs w:val="24"/>
        </w:rPr>
        <w:t>E14.1</w:t>
      </w:r>
      <w:r w:rsidR="00471F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1F47" w:rsidRPr="00471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F47">
        <w:rPr>
          <w:rFonts w:ascii="Times New Roman" w:hAnsi="Times New Roman" w:cs="Times New Roman"/>
          <w:b/>
          <w:sz w:val="24"/>
          <w:szCs w:val="24"/>
        </w:rPr>
        <w:t>Production and Purchases budget</w:t>
      </w:r>
      <w:r w:rsidR="00A41B64" w:rsidRPr="00471F47">
        <w:rPr>
          <w:rFonts w:ascii="Times New Roman" w:hAnsi="Times New Roman" w:cs="Times New Roman"/>
          <w:b/>
          <w:sz w:val="24"/>
          <w:szCs w:val="24"/>
        </w:rPr>
        <w:t>s</w:t>
      </w:r>
    </w:p>
    <w:p w:rsidR="003A4CF6" w:rsidRPr="008C0842" w:rsidRDefault="00A41B64" w:rsidP="003A4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Medal Productions, Inc</w:t>
      </w:r>
      <w:r w:rsidR="006D42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makes award medallions that are attached to ribbons. Each medallion requires 18 inches of ribbon. The sales forecast for July is 4,000 medallions. </w:t>
      </w:r>
      <w:r w:rsidR="00AE45F7">
        <w:rPr>
          <w:rFonts w:ascii="Times New Roman" w:hAnsi="Times New Roman" w:cs="Times New Roman"/>
          <w:sz w:val="24"/>
          <w:szCs w:val="24"/>
        </w:rPr>
        <w:t>Estimat</w:t>
      </w:r>
      <w:r w:rsidR="003A4CF6">
        <w:rPr>
          <w:rFonts w:ascii="Times New Roman" w:hAnsi="Times New Roman" w:cs="Times New Roman"/>
          <w:sz w:val="24"/>
          <w:szCs w:val="24"/>
        </w:rPr>
        <w:t>ed beginning inventories and desired ending inventories for July are:</w:t>
      </w:r>
    </w:p>
    <w:p w:rsidR="003A4CF6" w:rsidRDefault="003A4C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3A4CF6" w:rsidTr="003A4CF6">
        <w:tc>
          <w:tcPr>
            <w:tcW w:w="3432" w:type="dxa"/>
          </w:tcPr>
          <w:p w:rsidR="003A4CF6" w:rsidRDefault="003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3A4CF6" w:rsidRDefault="003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Beginning Inventory</w:t>
            </w:r>
          </w:p>
        </w:tc>
        <w:tc>
          <w:tcPr>
            <w:tcW w:w="3432" w:type="dxa"/>
          </w:tcPr>
          <w:p w:rsidR="003A4CF6" w:rsidRDefault="003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Desired Ending Inventory</w:t>
            </w:r>
          </w:p>
        </w:tc>
      </w:tr>
      <w:tr w:rsidR="003A4CF6" w:rsidTr="003A4CF6">
        <w:tc>
          <w:tcPr>
            <w:tcW w:w="3432" w:type="dxa"/>
          </w:tcPr>
          <w:p w:rsidR="003A4CF6" w:rsidRDefault="003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Medallions</w:t>
            </w:r>
          </w:p>
          <w:p w:rsidR="003A4CF6" w:rsidRDefault="003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3A4CF6" w:rsidRDefault="003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3432" w:type="dxa"/>
          </w:tcPr>
          <w:p w:rsidR="003A4CF6" w:rsidRDefault="003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3A4CF6" w:rsidTr="003A4CF6">
        <w:tc>
          <w:tcPr>
            <w:tcW w:w="3432" w:type="dxa"/>
          </w:tcPr>
          <w:p w:rsidR="003A4CF6" w:rsidRDefault="003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Ribbon (yards)</w:t>
            </w:r>
          </w:p>
        </w:tc>
        <w:tc>
          <w:tcPr>
            <w:tcW w:w="3432" w:type="dxa"/>
          </w:tcPr>
          <w:p w:rsidR="003A4CF6" w:rsidRDefault="003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32" w:type="dxa"/>
          </w:tcPr>
          <w:p w:rsidR="003A4CF6" w:rsidRDefault="003A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A4CF6" w:rsidRDefault="003A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FCD" w:rsidRDefault="003A4CF6" w:rsidP="003A4CF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4CF6" w:rsidRDefault="003A4CF6" w:rsidP="003A4CF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3A4CF6" w:rsidRDefault="003A4CF6" w:rsidP="003A4CF6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Calculate the number of medallions to be produced in July.</w:t>
      </w:r>
    </w:p>
    <w:p w:rsidR="003A4CF6" w:rsidRDefault="003A4CF6" w:rsidP="003A4CF6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number of yards of ribbon to be purchased in July.</w:t>
      </w:r>
    </w:p>
    <w:p w:rsidR="00222DE6" w:rsidRDefault="00222DE6" w:rsidP="00222DE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6D42A7" w:rsidRDefault="006D42A7" w:rsidP="00222DE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6D42A7" w:rsidRDefault="006D42A7" w:rsidP="00222DE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BF6196" w:rsidRDefault="00222DE6" w:rsidP="00222DE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BF6196">
        <w:rPr>
          <w:rFonts w:ascii="Times New Roman" w:hAnsi="Times New Roman" w:cs="Times New Roman"/>
          <w:b/>
          <w:sz w:val="24"/>
          <w:szCs w:val="24"/>
        </w:rPr>
        <w:t>E15.4 Performance reporting and flexible budgeting</w:t>
      </w:r>
      <w:r w:rsidR="006D42A7">
        <w:rPr>
          <w:rFonts w:ascii="Times New Roman" w:hAnsi="Times New Roman" w:cs="Times New Roman"/>
          <w:sz w:val="24"/>
          <w:szCs w:val="24"/>
        </w:rPr>
        <w:t>:</w:t>
      </w:r>
    </w:p>
    <w:p w:rsidR="00222DE6" w:rsidRDefault="00222DE6" w:rsidP="00222DE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stamping department of a manufacturing firm, the standard cost for direct labor is $12 per hour, and the production standard calls for 1,000 stampings per hour. During </w:t>
      </w:r>
      <w:r w:rsidR="006D42A7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2A7">
        <w:rPr>
          <w:rFonts w:ascii="Times New Roman" w:hAnsi="Times New Roman" w:cs="Times New Roman"/>
          <w:sz w:val="24"/>
          <w:szCs w:val="24"/>
        </w:rPr>
        <w:t>168,</w:t>
      </w:r>
      <w:r>
        <w:rPr>
          <w:rFonts w:ascii="Times New Roman" w:hAnsi="Times New Roman" w:cs="Times New Roman"/>
          <w:sz w:val="24"/>
          <w:szCs w:val="24"/>
        </w:rPr>
        <w:t xml:space="preserve"> hours were required for actual production of 148,000 stampings. Actual direct labor cost for the stamping department for June was $2,184.</w:t>
      </w:r>
    </w:p>
    <w:p w:rsidR="00222DE6" w:rsidRDefault="00222DE6" w:rsidP="00222DE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222DE6" w:rsidRDefault="00222DE6" w:rsidP="00222DE6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following performance report for </w:t>
      </w:r>
      <w:r w:rsidR="006D42A7">
        <w:rPr>
          <w:rFonts w:ascii="Times New Roman" w:hAnsi="Times New Roman" w:cs="Times New Roman"/>
          <w:sz w:val="24"/>
          <w:szCs w:val="24"/>
        </w:rPr>
        <w:t>June</w:t>
      </w: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222DE6" w:rsidTr="00222DE6">
        <w:tc>
          <w:tcPr>
            <w:tcW w:w="2574" w:type="dxa"/>
          </w:tcPr>
          <w:p w:rsidR="00222DE6" w:rsidRDefault="00222DE6" w:rsidP="00222DE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222DE6" w:rsidRDefault="00222DE6" w:rsidP="00222DE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Flexed Budget</w:t>
            </w:r>
          </w:p>
        </w:tc>
        <w:tc>
          <w:tcPr>
            <w:tcW w:w="2574" w:type="dxa"/>
          </w:tcPr>
          <w:p w:rsidR="00222DE6" w:rsidRDefault="00222DE6" w:rsidP="00222DE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2574" w:type="dxa"/>
          </w:tcPr>
          <w:p w:rsidR="00222DE6" w:rsidRDefault="00BF6196" w:rsidP="00222DE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 Variance</w:t>
            </w:r>
          </w:p>
        </w:tc>
      </w:tr>
      <w:tr w:rsidR="00222DE6" w:rsidTr="00222DE6">
        <w:tc>
          <w:tcPr>
            <w:tcW w:w="2574" w:type="dxa"/>
          </w:tcPr>
          <w:p w:rsidR="00222DE6" w:rsidRDefault="00BF6196" w:rsidP="00222DE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Labor</w:t>
            </w:r>
          </w:p>
        </w:tc>
        <w:tc>
          <w:tcPr>
            <w:tcW w:w="2574" w:type="dxa"/>
          </w:tcPr>
          <w:p w:rsidR="00222DE6" w:rsidRDefault="00222DE6" w:rsidP="00222DE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222DE6" w:rsidRDefault="00222DE6" w:rsidP="00222DE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222DE6" w:rsidRDefault="00222DE6" w:rsidP="00222DE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196" w:rsidRDefault="00BF6196" w:rsidP="00222DE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budget variance by calculating the direct labor efficiency and rate variances for June.</w:t>
      </w:r>
    </w:p>
    <w:p w:rsidR="00BF6196" w:rsidRPr="00BF6196" w:rsidRDefault="00BF6196" w:rsidP="00BF6196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alternatives to preceding monthly report could improve control over the stamping department’s direct </w:t>
      </w:r>
      <w:r w:rsidR="006D42A7">
        <w:rPr>
          <w:rFonts w:ascii="Times New Roman" w:hAnsi="Times New Roman" w:cs="Times New Roman"/>
          <w:sz w:val="24"/>
          <w:szCs w:val="24"/>
        </w:rPr>
        <w:t>labor?</w:t>
      </w:r>
    </w:p>
    <w:sectPr w:rsidR="00BF6196" w:rsidRPr="00BF6196" w:rsidSect="009428EC">
      <w:pgSz w:w="12240" w:h="15840"/>
      <w:pgMar w:top="1440" w:right="1080" w:bottom="1440" w:left="1080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25D8"/>
    <w:multiLevelType w:val="hybridMultilevel"/>
    <w:tmpl w:val="559251DE"/>
    <w:lvl w:ilvl="0" w:tplc="3BC452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6D16"/>
    <w:multiLevelType w:val="hybridMultilevel"/>
    <w:tmpl w:val="F0DA6698"/>
    <w:lvl w:ilvl="0" w:tplc="30047C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C0842"/>
    <w:rsid w:val="00094820"/>
    <w:rsid w:val="00222DE6"/>
    <w:rsid w:val="003A4CF6"/>
    <w:rsid w:val="00471F47"/>
    <w:rsid w:val="006D42A7"/>
    <w:rsid w:val="008C0842"/>
    <w:rsid w:val="009428EC"/>
    <w:rsid w:val="00A41B64"/>
    <w:rsid w:val="00AE45F7"/>
    <w:rsid w:val="00B816BC"/>
    <w:rsid w:val="00BF6196"/>
    <w:rsid w:val="00E8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 Lawrence</dc:creator>
  <cp:lastModifiedBy>Kimberly S Lawrence</cp:lastModifiedBy>
  <cp:revision>3</cp:revision>
  <dcterms:created xsi:type="dcterms:W3CDTF">2010-04-26T13:31:00Z</dcterms:created>
  <dcterms:modified xsi:type="dcterms:W3CDTF">2010-04-26T14:48:00Z</dcterms:modified>
</cp:coreProperties>
</file>