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35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E3253" w:rsidTr="005E3253">
        <w:tc>
          <w:tcPr>
            <w:tcW w:w="2394" w:type="dxa"/>
          </w:tcPr>
          <w:p w:rsidR="005E3253" w:rsidRPr="005E3253" w:rsidRDefault="005E3253" w:rsidP="005E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b/>
                <w:sz w:val="24"/>
                <w:szCs w:val="24"/>
              </w:rPr>
              <w:t>Type of Orange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b/>
                <w:sz w:val="24"/>
                <w:szCs w:val="24"/>
              </w:rPr>
              <w:t>Florida Indian River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b/>
                <w:sz w:val="24"/>
                <w:szCs w:val="24"/>
              </w:rPr>
              <w:t>Florida Interior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b/>
                <w:sz w:val="24"/>
                <w:szCs w:val="24"/>
              </w:rPr>
              <w:t>California</w:t>
            </w:r>
          </w:p>
        </w:tc>
      </w:tr>
      <w:tr w:rsidR="005E3253" w:rsidTr="005E3253">
        <w:tc>
          <w:tcPr>
            <w:tcW w:w="2394" w:type="dxa"/>
          </w:tcPr>
          <w:p w:rsidR="005E3253" w:rsidRPr="005E3253" w:rsidRDefault="005E3253" w:rsidP="005E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Florida Indian River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b/>
                <w:sz w:val="24"/>
                <w:szCs w:val="24"/>
              </w:rPr>
              <w:t>-3.07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+1.56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+0.01</w:t>
            </w:r>
          </w:p>
        </w:tc>
      </w:tr>
      <w:tr w:rsidR="005E3253" w:rsidTr="005E3253">
        <w:tc>
          <w:tcPr>
            <w:tcW w:w="2394" w:type="dxa"/>
          </w:tcPr>
          <w:p w:rsidR="005E3253" w:rsidRPr="005E3253" w:rsidRDefault="005E3253" w:rsidP="005E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Florida Interior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+1.16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b/>
                <w:sz w:val="24"/>
                <w:szCs w:val="24"/>
              </w:rPr>
              <w:t>-3.01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+.014</w:t>
            </w:r>
          </w:p>
        </w:tc>
      </w:tr>
      <w:tr w:rsidR="005E3253" w:rsidTr="005E3253">
        <w:tc>
          <w:tcPr>
            <w:tcW w:w="2394" w:type="dxa"/>
          </w:tcPr>
          <w:p w:rsidR="005E3253" w:rsidRPr="005E3253" w:rsidRDefault="005E3253" w:rsidP="005E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+0.18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sz w:val="24"/>
                <w:szCs w:val="24"/>
              </w:rPr>
              <w:t>+0.09</w:t>
            </w:r>
          </w:p>
        </w:tc>
        <w:tc>
          <w:tcPr>
            <w:tcW w:w="2394" w:type="dxa"/>
          </w:tcPr>
          <w:p w:rsidR="005E3253" w:rsidRPr="005E3253" w:rsidRDefault="005E3253" w:rsidP="005E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53">
              <w:rPr>
                <w:rFonts w:ascii="Times New Roman" w:hAnsi="Times New Roman" w:cs="Times New Roman"/>
                <w:b/>
                <w:sz w:val="24"/>
                <w:szCs w:val="24"/>
              </w:rPr>
              <w:t>-2.76</w:t>
            </w:r>
          </w:p>
        </w:tc>
      </w:tr>
    </w:tbl>
    <w:p w:rsidR="005E3253" w:rsidRDefault="005E3253">
      <w:pPr>
        <w:rPr>
          <w:rFonts w:ascii="Times New Roman" w:hAnsi="Times New Roman" w:cs="Times New Roman"/>
          <w:b/>
          <w:sz w:val="24"/>
          <w:szCs w:val="24"/>
        </w:rPr>
      </w:pPr>
      <w:r w:rsidRPr="005E3253">
        <w:rPr>
          <w:rFonts w:ascii="Times New Roman" w:hAnsi="Times New Roman" w:cs="Times New Roman"/>
          <w:b/>
          <w:sz w:val="24"/>
          <w:szCs w:val="24"/>
        </w:rPr>
        <w:t xml:space="preserve">Price Elasticity and Cross-Price Elasticity </w:t>
      </w:r>
      <w:proofErr w:type="spellStart"/>
      <w:proofErr w:type="gramStart"/>
      <w:r w:rsidRPr="005E3253">
        <w:rPr>
          <w:rFonts w:ascii="Times New Roman" w:hAnsi="Times New Roman" w:cs="Times New Roman"/>
          <w:b/>
          <w:sz w:val="24"/>
          <w:szCs w:val="24"/>
        </w:rPr>
        <w:t>fo</w:t>
      </w:r>
      <w:proofErr w:type="spellEnd"/>
      <w:proofErr w:type="gramEnd"/>
      <w:r w:rsidRPr="005E3253">
        <w:rPr>
          <w:rFonts w:ascii="Times New Roman" w:hAnsi="Times New Roman" w:cs="Times New Roman"/>
          <w:b/>
          <w:sz w:val="24"/>
          <w:szCs w:val="24"/>
        </w:rPr>
        <w:t xml:space="preserve"> Demand for Florida Indian River, Florida Interior, and California Oranges</w:t>
      </w:r>
    </w:p>
    <w:p w:rsidR="005E3253" w:rsidRDefault="005E3253" w:rsidP="005E3253">
      <w:pPr>
        <w:rPr>
          <w:rFonts w:ascii="Times New Roman" w:hAnsi="Times New Roman" w:cs="Times New Roman"/>
          <w:sz w:val="24"/>
          <w:szCs w:val="24"/>
        </w:rPr>
      </w:pPr>
    </w:p>
    <w:p w:rsidR="005E3253" w:rsidRPr="005E3253" w:rsidRDefault="005E3253" w:rsidP="005E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above chart,</w:t>
      </w:r>
      <w:r w:rsidRPr="005E3253">
        <w:rPr>
          <w:rFonts w:ascii="Times New Roman" w:hAnsi="Times New Roman" w:cs="Times New Roman"/>
          <w:sz w:val="24"/>
          <w:szCs w:val="24"/>
        </w:rPr>
        <w:t xml:space="preserve"> determine by how much the demand for Florida Indian River oranges would change as a result of a 10 percent increase in the price of Florida interior oranges, and vice versa.</w:t>
      </w:r>
    </w:p>
    <w:p w:rsidR="005E3253" w:rsidRPr="005E3253" w:rsidRDefault="005E3253" w:rsidP="005E3253">
      <w:pPr>
        <w:rPr>
          <w:rFonts w:ascii="Times New Roman" w:hAnsi="Times New Roman" w:cs="Times New Roman"/>
          <w:sz w:val="24"/>
          <w:szCs w:val="24"/>
        </w:rPr>
      </w:pPr>
    </w:p>
    <w:p w:rsidR="00525C3E" w:rsidRPr="005E3253" w:rsidRDefault="00525C3E" w:rsidP="005E3253">
      <w:pPr>
        <w:rPr>
          <w:rFonts w:ascii="Times New Roman" w:hAnsi="Times New Roman" w:cs="Times New Roman"/>
          <w:sz w:val="24"/>
          <w:szCs w:val="24"/>
        </w:rPr>
      </w:pPr>
    </w:p>
    <w:sectPr w:rsidR="00525C3E" w:rsidRPr="005E3253" w:rsidSect="0052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253"/>
    <w:rsid w:val="00525C3E"/>
    <w:rsid w:val="005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2010-04-01T01:15:00Z</dcterms:created>
  <dcterms:modified xsi:type="dcterms:W3CDTF">2010-04-01T01:22:00Z</dcterms:modified>
</cp:coreProperties>
</file>