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9"/>
          <w:szCs w:val="19"/>
        </w:rPr>
      </w:pPr>
      <w:r>
        <w:rPr>
          <w:rFonts w:ascii="Sabon-Bold" w:hAnsi="Sabon-Bold" w:cs="Sabon-Bold"/>
          <w:b/>
          <w:bCs/>
          <w:color w:val="231F20"/>
          <w:sz w:val="19"/>
          <w:szCs w:val="19"/>
        </w:rPr>
        <w:t xml:space="preserve">P12–19 EBIT–EPS and capital structure </w:t>
      </w:r>
      <w:r>
        <w:rPr>
          <w:rFonts w:ascii="Sabon-Roman" w:hAnsi="Sabon-Roman" w:cs="Sabon-Roman"/>
          <w:color w:val="231F20"/>
          <w:sz w:val="19"/>
          <w:szCs w:val="19"/>
        </w:rPr>
        <w:t>Data-Check is considering two capital structures.</w:t>
      </w:r>
    </w:p>
    <w:p w:rsidR="00AE0434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9"/>
          <w:szCs w:val="19"/>
        </w:rPr>
      </w:pPr>
      <w:r>
        <w:rPr>
          <w:rFonts w:ascii="Sabon-Roman" w:hAnsi="Sabon-Roman" w:cs="Sabon-Roman"/>
          <w:color w:val="231F20"/>
          <w:sz w:val="19"/>
          <w:szCs w:val="19"/>
        </w:rPr>
        <w:t xml:space="preserve">The key information is shown in the following table. Assume a 40% tax rate. </w:t>
      </w:r>
    </w:p>
    <w:p w:rsidR="00AE0434" w:rsidRDefault="00AE0434" w:rsidP="00E14C6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9"/>
          <w:szCs w:val="19"/>
        </w:rPr>
      </w:pPr>
    </w:p>
    <w:p w:rsidR="00E14C69" w:rsidRPr="001826BF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b/>
          <w:color w:val="231F20"/>
          <w:sz w:val="19"/>
          <w:szCs w:val="19"/>
        </w:rPr>
      </w:pPr>
      <w:r w:rsidRPr="001826BF">
        <w:rPr>
          <w:rFonts w:ascii="Sabon-Roman" w:hAnsi="Sabon-Roman" w:cs="Sabon-Roman"/>
          <w:b/>
          <w:color w:val="231F20"/>
          <w:sz w:val="19"/>
          <w:szCs w:val="19"/>
        </w:rPr>
        <w:t xml:space="preserve">Use $50,000 and $60,000 for the two EBIT numbers. </w:t>
      </w:r>
    </w:p>
    <w:p w:rsid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  <w:sz w:val="19"/>
          <w:szCs w:val="19"/>
        </w:rPr>
      </w:pPr>
    </w:p>
    <w:p w:rsid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  <w:sz w:val="15"/>
          <w:szCs w:val="15"/>
        </w:rPr>
      </w:pPr>
      <w:r>
        <w:rPr>
          <w:rFonts w:ascii="Sabon-Bold" w:hAnsi="Sabon-Bold" w:cs="Sabon-Bold"/>
          <w:b/>
          <w:bCs/>
          <w:color w:val="231F20"/>
          <w:sz w:val="15"/>
          <w:szCs w:val="15"/>
        </w:rPr>
        <w:t xml:space="preserve">Source of </w:t>
      </w:r>
      <w:proofErr w:type="gramStart"/>
      <w:r>
        <w:rPr>
          <w:rFonts w:ascii="Sabon-Bold" w:hAnsi="Sabon-Bold" w:cs="Sabon-Bold"/>
          <w:b/>
          <w:bCs/>
          <w:color w:val="231F20"/>
          <w:sz w:val="15"/>
          <w:szCs w:val="15"/>
        </w:rPr>
        <w:t xml:space="preserve">capital </w:t>
      </w:r>
      <w:r>
        <w:rPr>
          <w:rFonts w:ascii="Sabon-Bold" w:hAnsi="Sabon-Bold" w:cs="Sabon-Bold"/>
          <w:b/>
          <w:bCs/>
          <w:color w:val="231F20"/>
          <w:sz w:val="15"/>
          <w:szCs w:val="15"/>
        </w:rPr>
        <w:tab/>
      </w:r>
      <w:r>
        <w:rPr>
          <w:rFonts w:ascii="Sabon-Bold" w:hAnsi="Sabon-Bold" w:cs="Sabon-Bold"/>
          <w:b/>
          <w:bCs/>
          <w:color w:val="231F20"/>
          <w:sz w:val="15"/>
          <w:szCs w:val="15"/>
        </w:rPr>
        <w:tab/>
        <w:t xml:space="preserve">Structure A </w:t>
      </w:r>
      <w:r>
        <w:rPr>
          <w:rFonts w:ascii="Sabon-Bold" w:hAnsi="Sabon-Bold" w:cs="Sabon-Bold"/>
          <w:b/>
          <w:bCs/>
          <w:color w:val="231F20"/>
          <w:sz w:val="15"/>
          <w:szCs w:val="15"/>
        </w:rPr>
        <w:tab/>
      </w:r>
      <w:r>
        <w:rPr>
          <w:rFonts w:ascii="Sabon-Bold" w:hAnsi="Sabon-Bold" w:cs="Sabon-Bold"/>
          <w:b/>
          <w:bCs/>
          <w:color w:val="231F20"/>
          <w:sz w:val="15"/>
          <w:szCs w:val="15"/>
        </w:rPr>
        <w:tab/>
      </w:r>
      <w:r>
        <w:rPr>
          <w:rFonts w:ascii="Sabon-Bold" w:hAnsi="Sabon-Bold" w:cs="Sabon-Bold"/>
          <w:b/>
          <w:bCs/>
          <w:color w:val="231F20"/>
          <w:sz w:val="15"/>
          <w:szCs w:val="15"/>
        </w:rPr>
        <w:tab/>
      </w:r>
      <w:proofErr w:type="gramEnd"/>
      <w:r>
        <w:rPr>
          <w:rFonts w:ascii="Sabon-Bold" w:hAnsi="Sabon-Bold" w:cs="Sabon-Bold"/>
          <w:b/>
          <w:bCs/>
          <w:color w:val="231F20"/>
          <w:sz w:val="15"/>
          <w:szCs w:val="15"/>
        </w:rPr>
        <w:tab/>
        <w:t>Structure B</w:t>
      </w:r>
    </w:p>
    <w:p w:rsid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5"/>
          <w:szCs w:val="15"/>
        </w:rPr>
      </w:pPr>
      <w:r>
        <w:rPr>
          <w:rFonts w:ascii="Sabon-Roman" w:hAnsi="Sabon-Roman" w:cs="Sabon-Roman"/>
          <w:color w:val="231F20"/>
          <w:sz w:val="15"/>
          <w:szCs w:val="15"/>
        </w:rPr>
        <w:t xml:space="preserve">Long-term debt </w:t>
      </w:r>
      <w:r>
        <w:rPr>
          <w:rFonts w:ascii="Sabon-Roman" w:hAnsi="Sabon-Roman" w:cs="Sabon-Roman"/>
          <w:color w:val="231F20"/>
          <w:sz w:val="15"/>
          <w:szCs w:val="15"/>
        </w:rPr>
        <w:tab/>
      </w:r>
      <w:r>
        <w:rPr>
          <w:rFonts w:ascii="Sabon-Roman" w:hAnsi="Sabon-Roman" w:cs="Sabon-Roman"/>
          <w:color w:val="231F20"/>
          <w:sz w:val="15"/>
          <w:szCs w:val="15"/>
        </w:rPr>
        <w:tab/>
        <w:t xml:space="preserve">$100,000 at 16% coupon rate </w:t>
      </w:r>
      <w:r>
        <w:rPr>
          <w:rFonts w:ascii="Sabon-Roman" w:hAnsi="Sabon-Roman" w:cs="Sabon-Roman"/>
          <w:color w:val="231F20"/>
          <w:sz w:val="15"/>
          <w:szCs w:val="15"/>
        </w:rPr>
        <w:tab/>
      </w:r>
      <w:r>
        <w:rPr>
          <w:rFonts w:ascii="Sabon-Roman" w:hAnsi="Sabon-Roman" w:cs="Sabon-Roman"/>
          <w:color w:val="231F20"/>
          <w:sz w:val="15"/>
          <w:szCs w:val="15"/>
        </w:rPr>
        <w:tab/>
      </w:r>
      <w:r>
        <w:rPr>
          <w:rFonts w:ascii="Sabon-Roman" w:hAnsi="Sabon-Roman" w:cs="Sabon-Roman"/>
          <w:color w:val="231F20"/>
          <w:sz w:val="15"/>
          <w:szCs w:val="15"/>
        </w:rPr>
        <w:tab/>
        <w:t>$200,000 at 17% coupon rate</w:t>
      </w:r>
    </w:p>
    <w:p w:rsid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  <w:sz w:val="19"/>
          <w:szCs w:val="19"/>
        </w:rPr>
      </w:pPr>
      <w:r>
        <w:rPr>
          <w:rFonts w:ascii="Sabon-Roman" w:hAnsi="Sabon-Roman" w:cs="Sabon-Roman"/>
          <w:color w:val="231F20"/>
          <w:sz w:val="15"/>
          <w:szCs w:val="15"/>
        </w:rPr>
        <w:t xml:space="preserve">Common stock </w:t>
      </w:r>
      <w:r>
        <w:rPr>
          <w:rFonts w:ascii="Sabon-Roman" w:hAnsi="Sabon-Roman" w:cs="Sabon-Roman"/>
          <w:color w:val="231F20"/>
          <w:sz w:val="15"/>
          <w:szCs w:val="15"/>
        </w:rPr>
        <w:tab/>
      </w:r>
      <w:r>
        <w:rPr>
          <w:rFonts w:ascii="Sabon-Roman" w:hAnsi="Sabon-Roman" w:cs="Sabon-Roman"/>
          <w:color w:val="231F20"/>
          <w:sz w:val="15"/>
          <w:szCs w:val="15"/>
        </w:rPr>
        <w:tab/>
        <w:t xml:space="preserve">4,000 shares </w:t>
      </w:r>
      <w:r>
        <w:rPr>
          <w:rFonts w:ascii="Sabon-Roman" w:hAnsi="Sabon-Roman" w:cs="Sabon-Roman"/>
          <w:color w:val="231F20"/>
          <w:sz w:val="15"/>
          <w:szCs w:val="15"/>
        </w:rPr>
        <w:tab/>
      </w:r>
      <w:r>
        <w:rPr>
          <w:rFonts w:ascii="Sabon-Roman" w:hAnsi="Sabon-Roman" w:cs="Sabon-Roman"/>
          <w:color w:val="231F20"/>
          <w:sz w:val="15"/>
          <w:szCs w:val="15"/>
        </w:rPr>
        <w:tab/>
      </w:r>
      <w:r>
        <w:rPr>
          <w:rFonts w:ascii="Sabon-Roman" w:hAnsi="Sabon-Roman" w:cs="Sabon-Roman"/>
          <w:color w:val="231F20"/>
          <w:sz w:val="15"/>
          <w:szCs w:val="15"/>
        </w:rPr>
        <w:tab/>
      </w:r>
      <w:r>
        <w:rPr>
          <w:rFonts w:ascii="Sabon-Roman" w:hAnsi="Sabon-Roman" w:cs="Sabon-Roman"/>
          <w:color w:val="231F20"/>
          <w:sz w:val="15"/>
          <w:szCs w:val="15"/>
        </w:rPr>
        <w:tab/>
        <w:t>2,000 shares</w:t>
      </w:r>
    </w:p>
    <w:p w:rsid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  <w:sz w:val="19"/>
          <w:szCs w:val="19"/>
        </w:rPr>
      </w:pPr>
    </w:p>
    <w:p w:rsid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  <w:sz w:val="19"/>
          <w:szCs w:val="19"/>
        </w:rPr>
      </w:pPr>
    </w:p>
    <w:p w:rsid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  <w:sz w:val="19"/>
          <w:szCs w:val="19"/>
        </w:rPr>
      </w:pPr>
    </w:p>
    <w:p w:rsid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9"/>
          <w:szCs w:val="19"/>
        </w:rPr>
      </w:pPr>
      <w:r>
        <w:rPr>
          <w:rFonts w:ascii="Sabon-Bold" w:hAnsi="Sabon-Bold" w:cs="Sabon-Bold"/>
          <w:b/>
          <w:bCs/>
          <w:color w:val="231F20"/>
          <w:sz w:val="19"/>
          <w:szCs w:val="19"/>
        </w:rPr>
        <w:t xml:space="preserve">a. </w:t>
      </w:r>
      <w:r>
        <w:rPr>
          <w:rFonts w:ascii="Sabon-Roman" w:hAnsi="Sabon-Roman" w:cs="Sabon-Roman"/>
          <w:color w:val="231F20"/>
          <w:sz w:val="19"/>
          <w:szCs w:val="19"/>
        </w:rPr>
        <w:t xml:space="preserve">Calculate two </w:t>
      </w:r>
      <w:r>
        <w:rPr>
          <w:rFonts w:ascii="Sabon-Italic" w:hAnsi="Sabon-Italic" w:cs="Sabon-Italic"/>
          <w:i/>
          <w:iCs/>
          <w:color w:val="231F20"/>
          <w:sz w:val="19"/>
          <w:szCs w:val="19"/>
        </w:rPr>
        <w:t xml:space="preserve">EBIT–EPS coordinates </w:t>
      </w:r>
      <w:r>
        <w:rPr>
          <w:rFonts w:ascii="Sabon-Roman" w:hAnsi="Sabon-Roman" w:cs="Sabon-Roman"/>
          <w:color w:val="231F20"/>
          <w:sz w:val="19"/>
          <w:szCs w:val="19"/>
        </w:rPr>
        <w:t>for each of the structures by selecting any two EBIT values and finding their associated EPS values.</w:t>
      </w:r>
    </w:p>
    <w:p w:rsid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9"/>
          <w:szCs w:val="19"/>
        </w:rPr>
      </w:pPr>
      <w:r>
        <w:rPr>
          <w:rFonts w:ascii="Sabon-Bold" w:hAnsi="Sabon-Bold" w:cs="Sabon-Bold"/>
          <w:b/>
          <w:bCs/>
          <w:color w:val="231F20"/>
          <w:sz w:val="19"/>
          <w:szCs w:val="19"/>
        </w:rPr>
        <w:t xml:space="preserve">b. </w:t>
      </w:r>
      <w:r>
        <w:rPr>
          <w:rFonts w:ascii="Sabon-Roman" w:hAnsi="Sabon-Roman" w:cs="Sabon-Roman"/>
          <w:color w:val="231F20"/>
          <w:sz w:val="19"/>
          <w:szCs w:val="19"/>
        </w:rPr>
        <w:t>Plot the two capital structures on a set of EBIT–EPS axes.</w:t>
      </w:r>
    </w:p>
    <w:p w:rsid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9"/>
          <w:szCs w:val="19"/>
        </w:rPr>
      </w:pPr>
      <w:r>
        <w:rPr>
          <w:rFonts w:ascii="Sabon-Bold" w:hAnsi="Sabon-Bold" w:cs="Sabon-Bold"/>
          <w:b/>
          <w:bCs/>
          <w:color w:val="231F20"/>
          <w:sz w:val="19"/>
          <w:szCs w:val="19"/>
        </w:rPr>
        <w:t xml:space="preserve">c. </w:t>
      </w:r>
      <w:r>
        <w:rPr>
          <w:rFonts w:ascii="Sabon-Roman" w:hAnsi="Sabon-Roman" w:cs="Sabon-Roman"/>
          <w:color w:val="231F20"/>
          <w:sz w:val="19"/>
          <w:szCs w:val="19"/>
        </w:rPr>
        <w:t>Indicate over what EBIT range, if any, each structure is preferred.</w:t>
      </w:r>
    </w:p>
    <w:p w:rsid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9"/>
          <w:szCs w:val="19"/>
        </w:rPr>
      </w:pPr>
      <w:r>
        <w:rPr>
          <w:rFonts w:ascii="Sabon-Bold" w:hAnsi="Sabon-Bold" w:cs="Sabon-Bold"/>
          <w:b/>
          <w:bCs/>
          <w:color w:val="231F20"/>
          <w:sz w:val="19"/>
          <w:szCs w:val="19"/>
        </w:rPr>
        <w:t xml:space="preserve">d. </w:t>
      </w:r>
      <w:r>
        <w:rPr>
          <w:rFonts w:ascii="Sabon-Roman" w:hAnsi="Sabon-Roman" w:cs="Sabon-Roman"/>
          <w:color w:val="231F20"/>
          <w:sz w:val="19"/>
          <w:szCs w:val="19"/>
        </w:rPr>
        <w:t>Discuss the leverage and risk aspects of each structure.</w:t>
      </w:r>
    </w:p>
    <w:p w:rsidR="00A367F9" w:rsidRPr="00E14C69" w:rsidRDefault="00E14C69" w:rsidP="00E14C6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19"/>
          <w:szCs w:val="19"/>
        </w:rPr>
      </w:pPr>
      <w:r>
        <w:rPr>
          <w:rFonts w:ascii="Sabon-Bold" w:hAnsi="Sabon-Bold" w:cs="Sabon-Bold"/>
          <w:b/>
          <w:bCs/>
          <w:color w:val="231F20"/>
          <w:sz w:val="19"/>
          <w:szCs w:val="19"/>
        </w:rPr>
        <w:t xml:space="preserve">e. </w:t>
      </w:r>
      <w:r>
        <w:rPr>
          <w:rFonts w:ascii="Sabon-Roman" w:hAnsi="Sabon-Roman" w:cs="Sabon-Roman"/>
          <w:color w:val="231F20"/>
          <w:sz w:val="19"/>
          <w:szCs w:val="19"/>
        </w:rPr>
        <w:t>If the firm is fairly certain that its EBIT will exceed $75,000, which structure would you recommend? Why?</w:t>
      </w:r>
    </w:p>
    <w:sectPr w:rsidR="00A367F9" w:rsidRPr="00E14C69" w:rsidSect="00A3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-Roman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ab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14C69"/>
    <w:rsid w:val="001826BF"/>
    <w:rsid w:val="007A68B3"/>
    <w:rsid w:val="00A367F9"/>
    <w:rsid w:val="00AE0434"/>
    <w:rsid w:val="00D7769E"/>
    <w:rsid w:val="00E1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3</cp:revision>
  <dcterms:created xsi:type="dcterms:W3CDTF">2010-03-10T22:30:00Z</dcterms:created>
  <dcterms:modified xsi:type="dcterms:W3CDTF">2010-03-10T22:35:00Z</dcterms:modified>
</cp:coreProperties>
</file>