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97" w:rsidRDefault="000B5897" w:rsidP="000B5897">
      <w:pPr>
        <w:pStyle w:val="uphxbodytext2"/>
        <w:shd w:val="clear" w:color="auto" w:fill="FFFFFF"/>
        <w:spacing w:before="60" w:beforeAutospacing="0" w:after="60" w:afterAutospacing="0"/>
        <w:rPr>
          <w:sz w:val="27"/>
          <w:szCs w:val="27"/>
          <w:lang/>
        </w:rPr>
      </w:pPr>
      <w:r>
        <w:rPr>
          <w:rStyle w:val="Strong"/>
          <w:rFonts w:ascii="Arial" w:hAnsi="Arial" w:cs="Arial"/>
          <w:sz w:val="20"/>
          <w:szCs w:val="20"/>
          <w:lang/>
        </w:rPr>
        <w:t>1</w:t>
      </w:r>
      <w:proofErr w:type="gramStart"/>
      <w:r>
        <w:rPr>
          <w:rStyle w:val="Strong"/>
          <w:rFonts w:ascii="Arial" w:hAnsi="Arial" w:cs="Arial"/>
          <w:sz w:val="20"/>
          <w:szCs w:val="20"/>
          <w:lang/>
        </w:rPr>
        <w:t>,</w:t>
      </w:r>
      <w:r>
        <w:rPr>
          <w:rFonts w:ascii="Arial" w:hAnsi="Arial" w:cs="Arial"/>
          <w:b/>
          <w:bCs/>
          <w:sz w:val="20"/>
          <w:szCs w:val="20"/>
          <w:lang/>
        </w:rPr>
        <w:t>Problem</w:t>
      </w:r>
      <w:proofErr w:type="gramEnd"/>
      <w:r>
        <w:rPr>
          <w:rFonts w:ascii="Arial" w:hAnsi="Arial" w:cs="Arial"/>
          <w:b/>
          <w:bCs/>
          <w:sz w:val="20"/>
          <w:szCs w:val="20"/>
          <w:lang/>
        </w:rPr>
        <w:t xml:space="preserve">  5 Points</w:t>
      </w:r>
    </w:p>
    <w:p w:rsidR="000B5897" w:rsidRDefault="000B5897" w:rsidP="000B5897">
      <w:pPr>
        <w:pStyle w:val="first-levelbulletedlistsolid"/>
        <w:shd w:val="clear" w:color="auto" w:fill="FFFFFF"/>
        <w:tabs>
          <w:tab w:val="num" w:pos="1080"/>
        </w:tabs>
        <w:spacing w:before="0" w:beforeAutospacing="0" w:after="0" w:afterAutospacing="0"/>
        <w:ind w:left="1080" w:hanging="36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         </w:t>
      </w:r>
      <w:r>
        <w:rPr>
          <w:rStyle w:val="Strong"/>
          <w:rFonts w:ascii="Arial" w:hAnsi="Arial" w:cs="Arial"/>
          <w:sz w:val="20"/>
          <w:szCs w:val="20"/>
          <w:lang/>
        </w:rPr>
        <w:t xml:space="preserve">  Resource: </w:t>
      </w:r>
      <w:r>
        <w:rPr>
          <w:rFonts w:ascii="Arial" w:hAnsi="Arial" w:cs="Arial"/>
          <w:i/>
          <w:sz w:val="20"/>
          <w:szCs w:val="20"/>
          <w:lang/>
        </w:rPr>
        <w:t>Basic Finance: An Introduction to Financial Institutions, Investments, and Management</w:t>
      </w:r>
    </w:p>
    <w:p w:rsidR="000B5897" w:rsidRDefault="000B5897" w:rsidP="000B5897">
      <w:pPr>
        <w:pStyle w:val="first-levelbulletedlistsolid"/>
        <w:shd w:val="clear" w:color="auto" w:fill="FFFFFF"/>
        <w:tabs>
          <w:tab w:val="num" w:pos="1080"/>
        </w:tabs>
        <w:spacing w:before="0" w:beforeAutospacing="0" w:after="0" w:afterAutospacing="0"/>
        <w:ind w:left="1080" w:hanging="36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         </w:t>
      </w:r>
      <w:r>
        <w:rPr>
          <w:rStyle w:val="Strong"/>
          <w:rFonts w:ascii="Arial" w:hAnsi="Arial" w:cs="Arial"/>
          <w:sz w:val="20"/>
          <w:szCs w:val="20"/>
          <w:lang/>
        </w:rPr>
        <w:t>Prepare</w:t>
      </w:r>
      <w:r>
        <w:rPr>
          <w:rFonts w:ascii="Arial" w:hAnsi="Arial" w:cs="Arial"/>
          <w:sz w:val="20"/>
          <w:szCs w:val="20"/>
          <w:lang/>
        </w:rPr>
        <w:t xml:space="preserve"> a response to the following problem:</w:t>
      </w:r>
    </w:p>
    <w:p w:rsidR="000B5897" w:rsidRDefault="000B5897" w:rsidP="000B5897">
      <w:pPr>
        <w:pStyle w:val="first-levelbulletedlistsolid"/>
        <w:shd w:val="clear" w:color="auto" w:fill="FFFFFF"/>
        <w:tabs>
          <w:tab w:val="num" w:pos="1080"/>
        </w:tabs>
        <w:spacing w:before="0" w:beforeAutospacing="0" w:after="0" w:afterAutospacing="0"/>
        <w:ind w:left="720"/>
        <w:rPr>
          <w:sz w:val="27"/>
          <w:szCs w:val="27"/>
          <w:lang/>
        </w:rPr>
      </w:pPr>
      <w:r>
        <w:rPr>
          <w:rFonts w:ascii="Arial" w:hAnsi="Arial" w:cs="Arial"/>
          <w:sz w:val="20"/>
          <w:szCs w:val="20"/>
          <w:lang/>
        </w:rPr>
        <w:t> </w:t>
      </w:r>
    </w:p>
    <w:p w:rsidR="000B5897" w:rsidRDefault="000B5897" w:rsidP="00064ADC">
      <w:pPr>
        <w:pStyle w:val="second-levelbulletedlisthollo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Problem 3 (Ch. 23) of </w:t>
      </w:r>
      <w:r>
        <w:rPr>
          <w:rFonts w:ascii="Arial" w:hAnsi="Arial" w:cs="Arial"/>
          <w:i/>
          <w:sz w:val="20"/>
          <w:szCs w:val="20"/>
          <w:lang/>
        </w:rPr>
        <w:t>Basic Finance: An Introduction to Financial Institutions, Investments, and Management</w:t>
      </w:r>
      <w:r>
        <w:rPr>
          <w:rFonts w:ascii="Arial" w:hAnsi="Arial" w:cs="Arial"/>
          <w:sz w:val="20"/>
          <w:szCs w:val="20"/>
          <w:lang/>
        </w:rPr>
        <w:t>.  You do not have to complete letter e which relates to previous problem</w:t>
      </w:r>
      <w:proofErr w:type="gramStart"/>
      <w:r>
        <w:rPr>
          <w:rFonts w:ascii="Arial" w:hAnsi="Arial" w:cs="Arial"/>
          <w:sz w:val="20"/>
          <w:szCs w:val="20"/>
          <w:lang/>
        </w:rPr>
        <w:t>.,</w:t>
      </w:r>
      <w:proofErr w:type="gramEnd"/>
    </w:p>
    <w:p w:rsidR="00064ADC" w:rsidRDefault="00064ADC" w:rsidP="00064ADC">
      <w:pPr>
        <w:pStyle w:val="second-levelbulletedlisthollow"/>
        <w:shd w:val="clear" w:color="auto" w:fill="FFFFFF"/>
        <w:spacing w:before="0" w:beforeAutospacing="0" w:after="0" w:afterAutospacing="0"/>
        <w:ind w:left="1800"/>
        <w:rPr>
          <w:sz w:val="27"/>
          <w:szCs w:val="27"/>
          <w:lang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3. EEM, Inc. has the following balance sheet:</w:t>
      </w: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EEM, Incorporated Balance Sheet as of 12/31/X0</w:t>
      </w: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Assets Liabilities and Equity</w:t>
      </w: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color w:val="231F20"/>
          <w:sz w:val="18"/>
          <w:szCs w:val="18"/>
        </w:rPr>
        <w:t xml:space="preserve">Cash </w:t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  <w:t xml:space="preserve">       $ 1,000</w:t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  <w:t xml:space="preserve"> Accounts payable</w:t>
      </w:r>
      <w:r w:rsidR="00F95DDD">
        <w:rPr>
          <w:rFonts w:ascii="Frutiger-Light" w:hAnsi="Frutiger-Light" w:cs="Frutiger-Light"/>
          <w:color w:val="231F20"/>
          <w:sz w:val="18"/>
          <w:szCs w:val="18"/>
        </w:rPr>
        <w:t xml:space="preserve">       </w:t>
      </w:r>
      <w:r>
        <w:rPr>
          <w:rFonts w:ascii="Frutiger-Light" w:hAnsi="Frutiger-Light" w:cs="Frutiger-Light"/>
          <w:color w:val="231F20"/>
          <w:sz w:val="18"/>
          <w:szCs w:val="18"/>
        </w:rPr>
        <w:t xml:space="preserve"> $ 5,300</w:t>
      </w: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color w:val="231F20"/>
          <w:sz w:val="18"/>
          <w:szCs w:val="18"/>
        </w:rPr>
        <w:t>Accounts receivable       7,200</w:t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  <w:t xml:space="preserve"> Bank note payable </w:t>
      </w:r>
      <w:r w:rsidR="00F95DDD">
        <w:rPr>
          <w:rFonts w:ascii="Frutiger-Light" w:hAnsi="Frutiger-Light" w:cs="Frutiger-Light"/>
          <w:color w:val="231F20"/>
          <w:sz w:val="18"/>
          <w:szCs w:val="18"/>
        </w:rPr>
        <w:t xml:space="preserve">        </w:t>
      </w:r>
      <w:r>
        <w:rPr>
          <w:rFonts w:ascii="Frutiger-Light" w:hAnsi="Frutiger-Light" w:cs="Frutiger-Light"/>
          <w:color w:val="231F20"/>
          <w:sz w:val="18"/>
          <w:szCs w:val="18"/>
        </w:rPr>
        <w:t>3,200</w:t>
      </w: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color w:val="231F20"/>
          <w:sz w:val="18"/>
          <w:szCs w:val="18"/>
        </w:rPr>
        <w:t xml:space="preserve">Inventory </w:t>
      </w:r>
      <w:r>
        <w:rPr>
          <w:rFonts w:ascii="Frutiger-Light" w:hAnsi="Frutiger-Light" w:cs="Frutiger-Light"/>
          <w:color w:val="231F20"/>
          <w:sz w:val="18"/>
          <w:szCs w:val="18"/>
        </w:rPr>
        <w:tab/>
        <w:t xml:space="preserve">          6,100</w:t>
      </w: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color w:val="231F20"/>
          <w:sz w:val="18"/>
          <w:szCs w:val="18"/>
        </w:rPr>
        <w:t xml:space="preserve">Long-term assets </w:t>
      </w:r>
      <w:r w:rsidR="00F95DDD">
        <w:rPr>
          <w:rFonts w:ascii="Frutiger-Light" w:hAnsi="Frutiger-Light" w:cs="Frutiger-Light"/>
          <w:color w:val="231F20"/>
          <w:sz w:val="18"/>
          <w:szCs w:val="18"/>
        </w:rPr>
        <w:t xml:space="preserve">          </w:t>
      </w:r>
      <w:r>
        <w:rPr>
          <w:rFonts w:ascii="Frutiger-Light" w:hAnsi="Frutiger-Light" w:cs="Frutiger-Light"/>
          <w:color w:val="231F20"/>
          <w:sz w:val="18"/>
          <w:szCs w:val="18"/>
        </w:rPr>
        <w:t>4,200</w:t>
      </w:r>
      <w:r w:rsidR="00F95DDD">
        <w:rPr>
          <w:rFonts w:ascii="Frutiger-Light" w:hAnsi="Frutiger-Light" w:cs="Frutiger-Light"/>
          <w:color w:val="231F20"/>
          <w:sz w:val="18"/>
          <w:szCs w:val="18"/>
        </w:rPr>
        <w:t xml:space="preserve">                                                               </w:t>
      </w:r>
      <w:r>
        <w:rPr>
          <w:rFonts w:ascii="Frutiger-Light" w:hAnsi="Frutiger-Light" w:cs="Frutiger-Light"/>
          <w:color w:val="231F20"/>
          <w:sz w:val="18"/>
          <w:szCs w:val="18"/>
        </w:rPr>
        <w:t xml:space="preserve"> Equity </w:t>
      </w:r>
      <w:r w:rsidR="00F95DDD">
        <w:rPr>
          <w:rFonts w:ascii="Frutiger-Light" w:hAnsi="Frutiger-Light" w:cs="Frutiger-Light"/>
          <w:color w:val="231F20"/>
          <w:sz w:val="18"/>
          <w:szCs w:val="18"/>
        </w:rPr>
        <w:t xml:space="preserve">                </w:t>
      </w:r>
      <w:r>
        <w:rPr>
          <w:rFonts w:ascii="Frutiger-Light" w:hAnsi="Frutiger-Light" w:cs="Frutiger-Light"/>
          <w:color w:val="231F20"/>
          <w:sz w:val="18"/>
          <w:szCs w:val="18"/>
        </w:rPr>
        <w:t>10,000</w:t>
      </w:r>
    </w:p>
    <w:p w:rsidR="00064ADC" w:rsidRDefault="00F95DDD" w:rsidP="00F95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color w:val="231F20"/>
          <w:sz w:val="18"/>
          <w:szCs w:val="18"/>
        </w:rPr>
        <w:t xml:space="preserve">  </w:t>
      </w:r>
      <w:r w:rsidR="00064ADC">
        <w:rPr>
          <w:rFonts w:ascii="Frutiger-Light" w:hAnsi="Frutiger-Light" w:cs="Frutiger-Light"/>
          <w:color w:val="231F20"/>
          <w:sz w:val="18"/>
          <w:szCs w:val="18"/>
        </w:rPr>
        <w:t>$18,500</w:t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</w:r>
      <w:r>
        <w:rPr>
          <w:rFonts w:ascii="Frutiger-Light" w:hAnsi="Frutiger-Light" w:cs="Frutiger-Light"/>
          <w:color w:val="231F20"/>
          <w:sz w:val="18"/>
          <w:szCs w:val="18"/>
        </w:rPr>
        <w:tab/>
        <w:t xml:space="preserve">       </w:t>
      </w:r>
      <w:r>
        <w:rPr>
          <w:rFonts w:ascii="Frutiger-Light" w:hAnsi="Frutiger-Light" w:cs="Frutiger-Light"/>
          <w:color w:val="231F20"/>
          <w:sz w:val="18"/>
          <w:szCs w:val="18"/>
        </w:rPr>
        <w:tab/>
        <w:t xml:space="preserve">       </w:t>
      </w:r>
      <w:r w:rsidR="00064ADC">
        <w:rPr>
          <w:rFonts w:ascii="Frutiger-Light" w:hAnsi="Frutiger-Light" w:cs="Frutiger-Light"/>
          <w:color w:val="231F20"/>
          <w:sz w:val="18"/>
          <w:szCs w:val="18"/>
        </w:rPr>
        <w:t xml:space="preserve"> $18,500</w:t>
      </w:r>
    </w:p>
    <w:p w:rsidR="00F95DDD" w:rsidRDefault="00F95DDD" w:rsidP="00F95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-Light" w:hAnsi="Frutiger-Light" w:cs="Frutiger-Light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It has estimated the following relationships between sales and the various assets and</w:t>
      </w:r>
      <w:r w:rsidR="00F95DDD"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r>
        <w:rPr>
          <w:rFonts w:ascii="Sabon-Roman" w:hAnsi="Sabon-Roman" w:cs="Sabon-Roman"/>
          <w:color w:val="231F20"/>
          <w:sz w:val="18"/>
          <w:szCs w:val="18"/>
        </w:rPr>
        <w:t>liabilities that vary with the level of sales:</w:t>
      </w:r>
    </w:p>
    <w:p w:rsidR="00F95DDD" w:rsidRDefault="00F95DDD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Accounts receivable = $3,310 + 0.35 Sales,</w:t>
      </w:r>
    </w:p>
    <w:p w:rsidR="00F95DDD" w:rsidRDefault="00F95DDD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Inventory = $2,264 + 0.28 Sales,</w:t>
      </w:r>
    </w:p>
    <w:p w:rsidR="00F95DDD" w:rsidRDefault="00F95DDD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Accounts payable = $1,329 + 0.22 Sales.</w:t>
      </w:r>
    </w:p>
    <w:p w:rsidR="00F95DDD" w:rsidRDefault="00F95DDD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a. If the firm expects sales of $25,000, what are the forecasted levels of the balance</w:t>
      </w:r>
      <w:r w:rsidR="00F95DDD"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r>
        <w:rPr>
          <w:rFonts w:ascii="Sabon-Roman" w:hAnsi="Sabon-Roman" w:cs="Sabon-Roman"/>
          <w:color w:val="231F20"/>
          <w:sz w:val="18"/>
          <w:szCs w:val="18"/>
        </w:rPr>
        <w:t>sheet items above?</w:t>
      </w:r>
    </w:p>
    <w:p w:rsidR="00F95DDD" w:rsidRDefault="00F95DDD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b. Will the expansion in accounts payable cover the expansion in inventory and</w:t>
      </w:r>
      <w:r w:rsidR="00F95DDD"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r>
        <w:rPr>
          <w:rFonts w:ascii="Sabon-Roman" w:hAnsi="Sabon-Roman" w:cs="Sabon-Roman"/>
          <w:color w:val="231F20"/>
          <w:sz w:val="18"/>
          <w:szCs w:val="18"/>
        </w:rPr>
        <w:t>accounts receivable?</w:t>
      </w:r>
    </w:p>
    <w:p w:rsidR="00F95DDD" w:rsidRDefault="00F95DDD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</w:p>
    <w:p w:rsidR="00064ADC" w:rsidRDefault="00064ADC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c. If the firm earns 12 percent on sales after taxes and retains all of these earnings,</w:t>
      </w:r>
      <w:r w:rsidR="00F95DDD"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r>
        <w:rPr>
          <w:rFonts w:ascii="Sabon-Roman" w:hAnsi="Sabon-Roman" w:cs="Sabon-Roman"/>
          <w:color w:val="231F20"/>
          <w:sz w:val="18"/>
          <w:szCs w:val="18"/>
        </w:rPr>
        <w:t>will it cover its estimated needs for short-term financing?</w:t>
      </w:r>
    </w:p>
    <w:p w:rsidR="00F95DDD" w:rsidRDefault="00F95DDD" w:rsidP="00064AD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</w:p>
    <w:p w:rsidR="00563BA8" w:rsidRPr="00F95DDD" w:rsidRDefault="00064ADC" w:rsidP="00F95DD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>d. Construct a new balance sheet that incorporates the issuing of additional</w:t>
      </w:r>
      <w:r w:rsidR="00F95DDD"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r>
        <w:rPr>
          <w:rFonts w:ascii="Sabon-Roman" w:hAnsi="Sabon-Roman" w:cs="Sabon-Roman"/>
          <w:color w:val="231F20"/>
          <w:sz w:val="18"/>
          <w:szCs w:val="18"/>
        </w:rPr>
        <w:t>short-term debt</w:t>
      </w:r>
    </w:p>
    <w:sectPr w:rsidR="00563BA8" w:rsidRPr="00F95DDD" w:rsidSect="0063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749"/>
    <w:multiLevelType w:val="hybridMultilevel"/>
    <w:tmpl w:val="FA4A7EF2"/>
    <w:lvl w:ilvl="0" w:tplc="F8381C6E">
      <w:start w:val="4"/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897"/>
    <w:rsid w:val="00064ADC"/>
    <w:rsid w:val="000B5897"/>
    <w:rsid w:val="002B0257"/>
    <w:rsid w:val="00533945"/>
    <w:rsid w:val="00637BB0"/>
    <w:rsid w:val="00852422"/>
    <w:rsid w:val="00F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bodytext2">
    <w:name w:val="uphxbodytext2"/>
    <w:basedOn w:val="Normal"/>
    <w:rsid w:val="000B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897"/>
    <w:rPr>
      <w:b/>
      <w:bCs/>
    </w:rPr>
  </w:style>
  <w:style w:type="paragraph" w:customStyle="1" w:styleId="first-levelbulletedlistsolid">
    <w:name w:val="first-levelbulletedlistsolid"/>
    <w:basedOn w:val="Normal"/>
    <w:rsid w:val="000B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-levelbulletedlisthollow">
    <w:name w:val="second-levelbulletedlisthollow"/>
    <w:basedOn w:val="Normal"/>
    <w:rsid w:val="000B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1</cp:revision>
  <dcterms:created xsi:type="dcterms:W3CDTF">2010-03-02T00:07:00Z</dcterms:created>
  <dcterms:modified xsi:type="dcterms:W3CDTF">2010-03-02T01:46:00Z</dcterms:modified>
</cp:coreProperties>
</file>