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03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01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AE" w:rsidRDefault="00532D4A">
      <w:r>
        <w:t xml:space="preserve">The corporate officer generally responsible for tasks related to cash and credit management, financial planning, and capital expenditures </w:t>
      </w:r>
      <w:proofErr w:type="gramStart"/>
      <w:r>
        <w:t>is</w:t>
      </w:r>
      <w:proofErr w:type="gramEnd"/>
      <w:r>
        <w:t xml:space="preserve"> the: </w:t>
      </w:r>
      <w:r>
        <w:br/>
        <w:t xml:space="preserve">       </w:t>
      </w:r>
      <w: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34" type="#_x0000_t75" style="width:20.25pt;height:18pt" o:ole="">
            <v:imagedata r:id="rId4" o:title=""/>
          </v:shape>
          <w:control r:id="rId5" w:name="DefaultOcxName" w:shapeid="_x0000_i1234"/>
        </w:object>
      </w:r>
      <w:r>
        <w:t xml:space="preserve">Corporate Treasurer </w:t>
      </w:r>
      <w:r>
        <w:br/>
        <w:t xml:space="preserve">       </w:t>
      </w:r>
      <w:r>
        <w:object w:dxaOrig="405" w:dyaOrig="360">
          <v:shape id="_x0000_i1233" type="#_x0000_t75" style="width:20.25pt;height:18pt" o:ole="">
            <v:imagedata r:id="rId4" o:title=""/>
          </v:shape>
          <w:control r:id="rId6" w:name="DefaultOcxName1" w:shapeid="_x0000_i1233"/>
        </w:object>
      </w:r>
      <w:r>
        <w:t xml:space="preserve">Director </w:t>
      </w:r>
      <w:r>
        <w:br/>
        <w:t xml:space="preserve">       </w:t>
      </w:r>
      <w:r>
        <w:object w:dxaOrig="405" w:dyaOrig="360">
          <v:shape id="_x0000_i1232" type="#_x0000_t75" style="width:20.25pt;height:18pt" o:ole="">
            <v:imagedata r:id="rId4" o:title=""/>
          </v:shape>
          <w:control r:id="rId7" w:name="DefaultOcxName2" w:shapeid="_x0000_i1232"/>
        </w:object>
      </w:r>
      <w:r>
        <w:t xml:space="preserve">Corporate Controller </w:t>
      </w:r>
      <w:r>
        <w:br/>
        <w:t xml:space="preserve">       </w:t>
      </w:r>
      <w:r>
        <w:object w:dxaOrig="405" w:dyaOrig="360">
          <v:shape id="_x0000_i1231" type="#_x0000_t75" style="width:20.25pt;height:18pt" o:ole="">
            <v:imagedata r:id="rId4" o:title=""/>
          </v:shape>
          <w:control r:id="rId8" w:name="DefaultOcxName3" w:shapeid="_x0000_i1231"/>
        </w:object>
      </w:r>
      <w:r>
        <w:t xml:space="preserve">Chairman of the Board </w:t>
      </w:r>
      <w:r>
        <w:br/>
      </w:r>
      <w:r>
        <w:br/>
      </w:r>
      <w:r>
        <w:br/>
      </w:r>
      <w:r>
        <w:rPr>
          <w:rStyle w:val="Strong"/>
        </w:rPr>
        <w:t>2.</w:t>
      </w:r>
      <w:r>
        <w:t xml:space="preserve"> The process of planning and managing a firm's long-term investments is called: </w:t>
      </w:r>
      <w:r>
        <w:br/>
        <w:t xml:space="preserve">       </w:t>
      </w:r>
      <w:r>
        <w:object w:dxaOrig="405" w:dyaOrig="360">
          <v:shape id="_x0000_i1230" type="#_x0000_t75" style="width:20.25pt;height:18pt" o:ole="">
            <v:imagedata r:id="rId4" o:title=""/>
          </v:shape>
          <w:control r:id="rId9" w:name="DefaultOcxName4" w:shapeid="_x0000_i1230"/>
        </w:object>
      </w:r>
      <w:r>
        <w:t xml:space="preserve">Working capital management </w:t>
      </w:r>
      <w:r>
        <w:br/>
        <w:t xml:space="preserve">       </w:t>
      </w:r>
      <w:r>
        <w:object w:dxaOrig="405" w:dyaOrig="360">
          <v:shape id="_x0000_i1229" type="#_x0000_t75" style="width:20.25pt;height:18pt" o:ole="">
            <v:imagedata r:id="rId4" o:title=""/>
          </v:shape>
          <w:control r:id="rId10" w:name="DefaultOcxName5" w:shapeid="_x0000_i1229"/>
        </w:object>
      </w:r>
      <w:r>
        <w:t xml:space="preserve">Capital structure </w:t>
      </w:r>
      <w:r>
        <w:br/>
        <w:t xml:space="preserve">       </w:t>
      </w:r>
      <w:r>
        <w:object w:dxaOrig="405" w:dyaOrig="360">
          <v:shape id="_x0000_i1228" type="#_x0000_t75" style="width:20.25pt;height:18pt" o:ole="">
            <v:imagedata r:id="rId4" o:title=""/>
          </v:shape>
          <w:control r:id="rId11" w:name="DefaultOcxName6" w:shapeid="_x0000_i1228"/>
        </w:object>
      </w:r>
      <w:r>
        <w:t xml:space="preserve">Agency cost analysis </w:t>
      </w:r>
      <w:r>
        <w:br/>
        <w:t xml:space="preserve">       </w:t>
      </w:r>
      <w:r>
        <w:object w:dxaOrig="405" w:dyaOrig="360">
          <v:shape id="_x0000_i1227" type="#_x0000_t75" style="width:20.25pt;height:18pt" o:ole="">
            <v:imagedata r:id="rId4" o:title=""/>
          </v:shape>
          <w:control r:id="rId12" w:name="DefaultOcxName7" w:shapeid="_x0000_i1227"/>
        </w:object>
      </w:r>
      <w:r>
        <w:t xml:space="preserve">Capital budgeting </w:t>
      </w:r>
      <w:r>
        <w:br/>
      </w:r>
      <w:r>
        <w:br/>
      </w:r>
      <w:r>
        <w:br/>
      </w:r>
      <w:r>
        <w:rPr>
          <w:rStyle w:val="Strong"/>
        </w:rPr>
        <w:t>3.</w:t>
      </w:r>
      <w:r>
        <w:t xml:space="preserve"> The mixture of debt and equity used by the firm to finance its operations is: </w:t>
      </w:r>
      <w:r>
        <w:br/>
        <w:t xml:space="preserve">       </w:t>
      </w:r>
      <w:r>
        <w:object w:dxaOrig="405" w:dyaOrig="360">
          <v:shape id="_x0000_i1226" type="#_x0000_t75" style="width:20.25pt;height:18pt" o:ole="">
            <v:imagedata r:id="rId4" o:title=""/>
          </v:shape>
          <w:control r:id="rId13" w:name="DefaultOcxName8" w:shapeid="_x0000_i1226"/>
        </w:object>
      </w:r>
      <w:r>
        <w:t xml:space="preserve">working </w:t>
      </w:r>
      <w:proofErr w:type="spellStart"/>
      <w:r>
        <w:t>captial</w:t>
      </w:r>
      <w:proofErr w:type="spellEnd"/>
      <w:r>
        <w:t xml:space="preserve"> management </w:t>
      </w:r>
      <w:r>
        <w:br/>
        <w:t xml:space="preserve">       </w:t>
      </w:r>
      <w:r>
        <w:object w:dxaOrig="405" w:dyaOrig="360">
          <v:shape id="_x0000_i1225" type="#_x0000_t75" style="width:20.25pt;height:18pt" o:ole="">
            <v:imagedata r:id="rId4" o:title=""/>
          </v:shape>
          <w:control r:id="rId14" w:name="DefaultOcxName9" w:shapeid="_x0000_i1225"/>
        </w:object>
      </w:r>
      <w:r>
        <w:t xml:space="preserve">capital budgeting </w:t>
      </w:r>
      <w:r>
        <w:br/>
        <w:t xml:space="preserve">       </w:t>
      </w:r>
      <w:r>
        <w:object w:dxaOrig="405" w:dyaOrig="360">
          <v:shape id="_x0000_i1224" type="#_x0000_t75" style="width:20.25pt;height:18pt" o:ole="">
            <v:imagedata r:id="rId4" o:title=""/>
          </v:shape>
          <w:control r:id="rId15" w:name="DefaultOcxName10" w:shapeid="_x0000_i1224"/>
        </w:object>
      </w:r>
      <w:r>
        <w:t xml:space="preserve">capital structure </w:t>
      </w:r>
      <w:r>
        <w:br/>
        <w:t xml:space="preserve">       </w:t>
      </w:r>
      <w:r>
        <w:object w:dxaOrig="405" w:dyaOrig="360">
          <v:shape id="_x0000_i1223" type="#_x0000_t75" style="width:20.25pt;height:18pt" o:ole="">
            <v:imagedata r:id="rId4" o:title=""/>
          </v:shape>
          <w:control r:id="rId16" w:name="DefaultOcxName11" w:shapeid="_x0000_i1223"/>
        </w:object>
      </w:r>
      <w:r>
        <w:t xml:space="preserve">financial depreciation </w:t>
      </w:r>
      <w:r>
        <w:br/>
      </w:r>
      <w:r>
        <w:br/>
      </w:r>
      <w:r>
        <w:br/>
      </w:r>
      <w:r>
        <w:rPr>
          <w:rStyle w:val="Strong"/>
        </w:rPr>
        <w:t>4.</w:t>
      </w:r>
      <w:r>
        <w:t xml:space="preserve"> A business owned by a singe individual is called </w:t>
      </w:r>
      <w:proofErr w:type="gramStart"/>
      <w:r>
        <w:t>a(</w:t>
      </w:r>
      <w:proofErr w:type="gramEnd"/>
      <w:r>
        <w:t xml:space="preserve">n):       </w:t>
      </w:r>
      <w:r>
        <w:object w:dxaOrig="405" w:dyaOrig="360">
          <v:shape id="_x0000_i1222" type="#_x0000_t75" style="width:20.25pt;height:18pt" o:ole="">
            <v:imagedata r:id="rId4" o:title=""/>
          </v:shape>
          <w:control r:id="rId17" w:name="DefaultOcxName12" w:shapeid="_x0000_i1222"/>
        </w:object>
      </w:r>
      <w:r>
        <w:t xml:space="preserve">corporation </w:t>
      </w:r>
      <w:r>
        <w:br/>
        <w:t xml:space="preserve">       </w:t>
      </w:r>
      <w:r>
        <w:object w:dxaOrig="405" w:dyaOrig="360">
          <v:shape id="_x0000_i1221" type="#_x0000_t75" style="width:20.25pt;height:18pt" o:ole="">
            <v:imagedata r:id="rId4" o:title=""/>
          </v:shape>
          <w:control r:id="rId18" w:name="DefaultOcxName13" w:shapeid="_x0000_i1221"/>
        </w:object>
      </w:r>
      <w:r>
        <w:t xml:space="preserve">sole proprietorship </w:t>
      </w:r>
      <w:r>
        <w:br/>
        <w:t xml:space="preserve">       </w:t>
      </w:r>
      <w:r>
        <w:object w:dxaOrig="405" w:dyaOrig="360">
          <v:shape id="_x0000_i1220" type="#_x0000_t75" style="width:20.25pt;height:18pt" o:ole="">
            <v:imagedata r:id="rId4" o:title=""/>
          </v:shape>
          <w:control r:id="rId19" w:name="DefaultOcxName14" w:shapeid="_x0000_i1220"/>
        </w:object>
      </w:r>
      <w:r>
        <w:t xml:space="preserve">partnership </w:t>
      </w:r>
      <w:r>
        <w:br/>
        <w:t xml:space="preserve">       </w:t>
      </w:r>
      <w:r>
        <w:object w:dxaOrig="405" w:dyaOrig="360">
          <v:shape id="_x0000_i1219" type="#_x0000_t75" style="width:20.25pt;height:18pt" o:ole="">
            <v:imagedata r:id="rId4" o:title=""/>
          </v:shape>
          <w:control r:id="rId20" w:name="DefaultOcxName15" w:shapeid="_x0000_i1219"/>
        </w:object>
      </w:r>
      <w:r>
        <w:t xml:space="preserve">open structure </w:t>
      </w:r>
      <w:r>
        <w:br/>
      </w:r>
      <w:r>
        <w:br/>
      </w:r>
      <w:r>
        <w:br/>
      </w:r>
      <w:r>
        <w:rPr>
          <w:rStyle w:val="Strong"/>
        </w:rPr>
        <w:t>5.</w:t>
      </w:r>
      <w:r>
        <w:t xml:space="preserve"> A business created as a distinct legal entity composed of one or more individuals or entities is called </w:t>
      </w:r>
      <w:proofErr w:type="gramStart"/>
      <w:r>
        <w:t>a(</w:t>
      </w:r>
      <w:proofErr w:type="gramEnd"/>
      <w:r>
        <w:t xml:space="preserve">n): </w:t>
      </w:r>
      <w:r>
        <w:br/>
        <w:t xml:space="preserve">       </w:t>
      </w:r>
      <w:r>
        <w:object w:dxaOrig="405" w:dyaOrig="360">
          <v:shape id="_x0000_i1218" type="#_x0000_t75" style="width:20.25pt;height:18pt" o:ole="">
            <v:imagedata r:id="rId4" o:title=""/>
          </v:shape>
          <w:control r:id="rId21" w:name="DefaultOcxName16" w:shapeid="_x0000_i1218"/>
        </w:object>
      </w:r>
      <w:r>
        <w:t xml:space="preserve">Corporation </w:t>
      </w:r>
      <w:r>
        <w:br/>
        <w:t xml:space="preserve">       </w:t>
      </w:r>
      <w:r>
        <w:object w:dxaOrig="405" w:dyaOrig="360">
          <v:shape id="_x0000_i1217" type="#_x0000_t75" style="width:20.25pt;height:18pt" o:ole="">
            <v:imagedata r:id="rId4" o:title=""/>
          </v:shape>
          <w:control r:id="rId22" w:name="DefaultOcxName17" w:shapeid="_x0000_i1217"/>
        </w:object>
      </w:r>
      <w:r>
        <w:t xml:space="preserve">Partnership </w:t>
      </w:r>
      <w:r>
        <w:br/>
      </w:r>
      <w:r>
        <w:lastRenderedPageBreak/>
        <w:t xml:space="preserve">       </w:t>
      </w:r>
      <w:r>
        <w:object w:dxaOrig="405" w:dyaOrig="360">
          <v:shape id="_x0000_i1216" type="#_x0000_t75" style="width:20.25pt;height:18pt" o:ole="">
            <v:imagedata r:id="rId4" o:title=""/>
          </v:shape>
          <w:control r:id="rId23" w:name="DefaultOcxName18" w:shapeid="_x0000_i1216"/>
        </w:object>
      </w:r>
      <w:r>
        <w:t xml:space="preserve">Closed receivership </w:t>
      </w:r>
      <w:r>
        <w:br/>
        <w:t xml:space="preserve">       </w:t>
      </w:r>
      <w:r>
        <w:object w:dxaOrig="405" w:dyaOrig="360">
          <v:shape id="_x0000_i1215" type="#_x0000_t75" style="width:20.25pt;height:18pt" o:ole="">
            <v:imagedata r:id="rId4" o:title=""/>
          </v:shape>
          <w:control r:id="rId24" w:name="DefaultOcxName19" w:shapeid="_x0000_i1215"/>
        </w:object>
      </w:r>
      <w:r>
        <w:t xml:space="preserve">Open structure </w:t>
      </w:r>
      <w:r>
        <w:br/>
      </w:r>
      <w:r>
        <w:br/>
      </w:r>
      <w:r>
        <w:br/>
      </w:r>
      <w:r>
        <w:rPr>
          <w:rStyle w:val="Strong"/>
        </w:rPr>
        <w:t>6.</w:t>
      </w:r>
      <w:r>
        <w:t xml:space="preserve"> The financial statement showing a firm's accounting value on a </w:t>
      </w:r>
      <w:proofErr w:type="spellStart"/>
      <w:r>
        <w:t>partiular</w:t>
      </w:r>
      <w:proofErr w:type="spellEnd"/>
      <w:r>
        <w:t xml:space="preserve"> date is the: </w:t>
      </w:r>
      <w:r>
        <w:br/>
        <w:t xml:space="preserve">       </w:t>
      </w:r>
      <w:r>
        <w:object w:dxaOrig="405" w:dyaOrig="360">
          <v:shape id="_x0000_i1214" type="#_x0000_t75" style="width:20.25pt;height:18pt" o:ole="">
            <v:imagedata r:id="rId4" o:title=""/>
          </v:shape>
          <w:control r:id="rId25" w:name="DefaultOcxName20" w:shapeid="_x0000_i1214"/>
        </w:object>
      </w:r>
      <w:r>
        <w:t xml:space="preserve">Income statement </w:t>
      </w:r>
      <w:r>
        <w:br/>
        <w:t xml:space="preserve">       </w:t>
      </w:r>
      <w:r>
        <w:object w:dxaOrig="405" w:dyaOrig="360">
          <v:shape id="_x0000_i1213" type="#_x0000_t75" style="width:20.25pt;height:18pt" o:ole="">
            <v:imagedata r:id="rId4" o:title=""/>
          </v:shape>
          <w:control r:id="rId26" w:name="DefaultOcxName21" w:shapeid="_x0000_i1213"/>
        </w:object>
      </w:r>
      <w:r>
        <w:t xml:space="preserve">Balance sheet </w:t>
      </w:r>
      <w:r>
        <w:br/>
        <w:t xml:space="preserve">       </w:t>
      </w:r>
      <w:r>
        <w:object w:dxaOrig="405" w:dyaOrig="360">
          <v:shape id="_x0000_i1212" type="#_x0000_t75" style="width:20.25pt;height:18pt" o:ole="">
            <v:imagedata r:id="rId4" o:title=""/>
          </v:shape>
          <w:control r:id="rId27" w:name="DefaultOcxName22" w:shapeid="_x0000_i1212"/>
        </w:object>
      </w:r>
      <w:r>
        <w:t xml:space="preserve">Statement of cash flow </w:t>
      </w:r>
      <w:r>
        <w:br/>
        <w:t xml:space="preserve">       </w:t>
      </w:r>
      <w:r>
        <w:object w:dxaOrig="405" w:dyaOrig="360">
          <v:shape id="_x0000_i1211" type="#_x0000_t75" style="width:20.25pt;height:18pt" o:ole="">
            <v:imagedata r:id="rId4" o:title=""/>
          </v:shape>
          <w:control r:id="rId28" w:name="DefaultOcxName23" w:shapeid="_x0000_i1211"/>
        </w:object>
      </w:r>
      <w:r>
        <w:t xml:space="preserve">Shareholders' equity sheet </w:t>
      </w:r>
      <w:r>
        <w:br/>
      </w:r>
      <w:r>
        <w:br/>
      </w:r>
      <w:r>
        <w:br/>
      </w:r>
      <w:r>
        <w:rPr>
          <w:rStyle w:val="Strong"/>
        </w:rPr>
        <w:t>7.</w:t>
      </w:r>
      <w:r>
        <w:t> </w:t>
      </w:r>
      <w:proofErr w:type="gramStart"/>
      <w:r>
        <w:t>A(</w:t>
      </w:r>
      <w:proofErr w:type="gramEnd"/>
      <w:r>
        <w:t>n) ___________ asset is one which can be quickly converted into cash without significant loss in value.</w:t>
      </w:r>
      <w:r>
        <w:br/>
        <w:t xml:space="preserve">       </w:t>
      </w:r>
      <w:r>
        <w:object w:dxaOrig="405" w:dyaOrig="360">
          <v:shape id="_x0000_i1210" type="#_x0000_t75" style="width:20.25pt;height:18pt" o:ole="">
            <v:imagedata r:id="rId4" o:title=""/>
          </v:shape>
          <w:control r:id="rId29" w:name="DefaultOcxName24" w:shapeid="_x0000_i1210"/>
        </w:object>
      </w:r>
      <w:r>
        <w:t xml:space="preserve">Current </w:t>
      </w:r>
      <w:r>
        <w:br/>
        <w:t xml:space="preserve">       </w:t>
      </w:r>
      <w:r>
        <w:object w:dxaOrig="405" w:dyaOrig="360">
          <v:shape id="_x0000_i1209" type="#_x0000_t75" style="width:20.25pt;height:18pt" o:ole="">
            <v:imagedata r:id="rId4" o:title=""/>
          </v:shape>
          <w:control r:id="rId30" w:name="DefaultOcxName25" w:shapeid="_x0000_i1209"/>
        </w:object>
      </w:r>
      <w:r>
        <w:t xml:space="preserve">Fixed </w:t>
      </w:r>
      <w:r>
        <w:br/>
        <w:t xml:space="preserve">       </w:t>
      </w:r>
      <w:r>
        <w:object w:dxaOrig="405" w:dyaOrig="360">
          <v:shape id="_x0000_i1208" type="#_x0000_t75" style="width:20.25pt;height:18pt" o:ole="">
            <v:imagedata r:id="rId4" o:title=""/>
          </v:shape>
          <w:control r:id="rId31" w:name="DefaultOcxName26" w:shapeid="_x0000_i1208"/>
        </w:object>
      </w:r>
      <w:r>
        <w:t xml:space="preserve">Liquid </w:t>
      </w:r>
      <w:r>
        <w:br/>
        <w:t xml:space="preserve">       </w:t>
      </w:r>
      <w:r>
        <w:object w:dxaOrig="405" w:dyaOrig="360">
          <v:shape id="_x0000_i1207" type="#_x0000_t75" style="width:20.25pt;height:18pt" o:ole="">
            <v:imagedata r:id="rId4" o:title=""/>
          </v:shape>
          <w:control r:id="rId32" w:name="DefaultOcxName27" w:shapeid="_x0000_i1207"/>
        </w:object>
      </w:r>
      <w:r>
        <w:t xml:space="preserve">Long-term </w:t>
      </w:r>
      <w:r>
        <w:br/>
      </w:r>
      <w:r>
        <w:br/>
      </w:r>
      <w:r>
        <w:br/>
      </w:r>
      <w:r>
        <w:rPr>
          <w:rStyle w:val="Strong"/>
        </w:rPr>
        <w:t>8.</w:t>
      </w:r>
      <w:r>
        <w:t xml:space="preserve"> Relationships determined from a firm's financial information and used for comparison purposes are known as: </w:t>
      </w:r>
      <w:r>
        <w:br/>
        <w:t xml:space="preserve">       </w:t>
      </w:r>
      <w:r>
        <w:object w:dxaOrig="405" w:dyaOrig="360">
          <v:shape id="_x0000_i1206" type="#_x0000_t75" style="width:20.25pt;height:18pt" o:ole="">
            <v:imagedata r:id="rId4" o:title=""/>
          </v:shape>
          <w:control r:id="rId33" w:name="DefaultOcxName28" w:shapeid="_x0000_i1206"/>
        </w:object>
      </w:r>
      <w:r>
        <w:t xml:space="preserve">Financial Ratios </w:t>
      </w:r>
      <w:r>
        <w:br/>
        <w:t xml:space="preserve">       </w:t>
      </w:r>
      <w:r>
        <w:object w:dxaOrig="405" w:dyaOrig="360">
          <v:shape id="_x0000_i1205" type="#_x0000_t75" style="width:20.25pt;height:18pt" o:ole="">
            <v:imagedata r:id="rId4" o:title=""/>
          </v:shape>
          <w:control r:id="rId34" w:name="DefaultOcxName29" w:shapeid="_x0000_i1205"/>
        </w:object>
      </w:r>
      <w:r>
        <w:t xml:space="preserve"> Comparison statements </w:t>
      </w:r>
      <w:r>
        <w:br/>
        <w:t xml:space="preserve">       </w:t>
      </w:r>
      <w:r>
        <w:object w:dxaOrig="405" w:dyaOrig="360">
          <v:shape id="_x0000_i1204" type="#_x0000_t75" style="width:20.25pt;height:18pt" o:ole="">
            <v:imagedata r:id="rId4" o:title=""/>
          </v:shape>
          <w:control r:id="rId35" w:name="DefaultOcxName30" w:shapeid="_x0000_i1204"/>
        </w:object>
      </w:r>
      <w:r>
        <w:t xml:space="preserve">Dimensional analysis </w:t>
      </w:r>
      <w:r>
        <w:br/>
        <w:t xml:space="preserve">       </w:t>
      </w:r>
      <w:r>
        <w:object w:dxaOrig="405" w:dyaOrig="360">
          <v:shape id="_x0000_i1203" type="#_x0000_t75" style="width:20.25pt;height:18pt" o:ole="">
            <v:imagedata r:id="rId4" o:title=""/>
          </v:shape>
          <w:control r:id="rId36" w:name="DefaultOcxName31" w:shapeid="_x0000_i1203"/>
        </w:object>
      </w:r>
      <w:r>
        <w:t xml:space="preserve">Solvency analysis </w:t>
      </w:r>
      <w:r>
        <w:br/>
      </w:r>
      <w:r>
        <w:br/>
      </w:r>
      <w:r>
        <w:br/>
      </w:r>
      <w:r>
        <w:rPr>
          <w:rStyle w:val="Strong"/>
        </w:rPr>
        <w:t>9.</w:t>
      </w:r>
      <w:r>
        <w:t xml:space="preserve"> When a firm chooses to buy a new fixed assets it is making a __________ decision.  </w:t>
      </w:r>
      <w:r>
        <w:br/>
        <w:t xml:space="preserve">       </w:t>
      </w:r>
      <w:r>
        <w:object w:dxaOrig="405" w:dyaOrig="360">
          <v:shape id="_x0000_i1202" type="#_x0000_t75" style="width:20.25pt;height:18pt" o:ole="">
            <v:imagedata r:id="rId4" o:title=""/>
          </v:shape>
          <w:control r:id="rId37" w:name="DefaultOcxName32" w:shapeid="_x0000_i1202"/>
        </w:object>
      </w:r>
      <w:proofErr w:type="gramStart"/>
      <w:r>
        <w:t xml:space="preserve">Financing </w:t>
      </w:r>
      <w:r>
        <w:br/>
        <w:t xml:space="preserve">       </w:t>
      </w:r>
      <w:r>
        <w:object w:dxaOrig="405" w:dyaOrig="360">
          <v:shape id="_x0000_i1201" type="#_x0000_t75" style="width:20.25pt;height:18pt" o:ole="">
            <v:imagedata r:id="rId4" o:title=""/>
          </v:shape>
          <w:control r:id="rId38" w:name="DefaultOcxName33" w:shapeid="_x0000_i1201"/>
        </w:object>
      </w:r>
      <w:r>
        <w:t xml:space="preserve">Capital structure </w:t>
      </w:r>
      <w:r>
        <w:br/>
        <w:t xml:space="preserve">       </w:t>
      </w:r>
      <w:r>
        <w:object w:dxaOrig="405" w:dyaOrig="360">
          <v:shape id="_x0000_i1200" type="#_x0000_t75" style="width:20.25pt;height:18pt" o:ole="">
            <v:imagedata r:id="rId4" o:title=""/>
          </v:shape>
          <w:control r:id="rId39" w:name="DefaultOcxName34" w:shapeid="_x0000_i1200"/>
        </w:object>
      </w:r>
      <w:r>
        <w:t xml:space="preserve">Capital budgeting </w:t>
      </w:r>
      <w:r>
        <w:br/>
        <w:t xml:space="preserve">       </w:t>
      </w:r>
      <w:r>
        <w:object w:dxaOrig="405" w:dyaOrig="360">
          <v:shape id="_x0000_i1199" type="#_x0000_t75" style="width:20.25pt;height:18pt" o:ole="">
            <v:imagedata r:id="rId4" o:title=""/>
          </v:shape>
          <w:control r:id="rId40" w:name="DefaultOcxName35" w:shapeid="_x0000_i1199"/>
        </w:object>
      </w:r>
      <w:r>
        <w:t xml:space="preserve">Working capital </w:t>
      </w:r>
      <w:r>
        <w:br/>
      </w:r>
      <w:r>
        <w:br/>
      </w:r>
      <w:r>
        <w:lastRenderedPageBreak/>
        <w:br/>
      </w:r>
      <w:r>
        <w:rPr>
          <w:rStyle w:val="Strong"/>
        </w:rPr>
        <w:t>10.</w:t>
      </w:r>
      <w:proofErr w:type="gramEnd"/>
      <w:r>
        <w:t> </w:t>
      </w:r>
      <w:proofErr w:type="gramStart"/>
      <w:r>
        <w:t xml:space="preserve">When a firm makes a </w:t>
      </w:r>
      <w:proofErr w:type="spellStart"/>
      <w:r>
        <w:t>desisions</w:t>
      </w:r>
      <w:proofErr w:type="spellEnd"/>
      <w:r>
        <w:t xml:space="preserve"> regarding the level of its long-term debt financing.</w:t>
      </w:r>
      <w:proofErr w:type="gramEnd"/>
      <w:r>
        <w:t xml:space="preserve"> </w:t>
      </w:r>
      <w:r>
        <w:br/>
        <w:t xml:space="preserve">       </w:t>
      </w:r>
      <w:r>
        <w:object w:dxaOrig="405" w:dyaOrig="360">
          <v:shape id="_x0000_i1198" type="#_x0000_t75" style="width:20.25pt;height:18pt" o:ole="">
            <v:imagedata r:id="rId4" o:title=""/>
          </v:shape>
          <w:control r:id="rId41" w:name="DefaultOcxName36" w:shapeid="_x0000_i1198"/>
        </w:object>
      </w:r>
      <w:r>
        <w:t xml:space="preserve">Capital budgeting </w:t>
      </w:r>
      <w:r>
        <w:br/>
        <w:t xml:space="preserve">       </w:t>
      </w:r>
      <w:r>
        <w:object w:dxaOrig="405" w:dyaOrig="360">
          <v:shape id="_x0000_i1197" type="#_x0000_t75" style="width:20.25pt;height:18pt" o:ole="">
            <v:imagedata r:id="rId4" o:title=""/>
          </v:shape>
          <w:control r:id="rId42" w:name="DefaultOcxName37" w:shapeid="_x0000_i1197"/>
        </w:object>
      </w:r>
      <w:r>
        <w:t xml:space="preserve">Capital structure </w:t>
      </w:r>
      <w:r>
        <w:br/>
        <w:t xml:space="preserve">       </w:t>
      </w:r>
      <w:r>
        <w:object w:dxaOrig="405" w:dyaOrig="360">
          <v:shape id="_x0000_i1196" type="#_x0000_t75" style="width:20.25pt;height:18pt" o:ole="">
            <v:imagedata r:id="rId4" o:title=""/>
          </v:shape>
          <w:control r:id="rId43" w:name="DefaultOcxName38" w:shapeid="_x0000_i1196"/>
        </w:object>
      </w:r>
      <w:r>
        <w:t xml:space="preserve">Financing </w:t>
      </w:r>
      <w:r>
        <w:br/>
        <w:t xml:space="preserve">       </w:t>
      </w:r>
      <w:r>
        <w:object w:dxaOrig="405" w:dyaOrig="360">
          <v:shape id="_x0000_i1195" type="#_x0000_t75" style="width:20.25pt;height:18pt" o:ole="">
            <v:imagedata r:id="rId4" o:title=""/>
          </v:shape>
          <w:control r:id="rId44" w:name="DefaultOcxName39" w:shapeid="_x0000_i1195"/>
        </w:object>
      </w:r>
      <w:r>
        <w:t xml:space="preserve">Working capital </w:t>
      </w:r>
      <w:r>
        <w:br/>
      </w:r>
      <w:r>
        <w:br/>
      </w:r>
      <w:r>
        <w:br/>
      </w:r>
      <w:r>
        <w:rPr>
          <w:rStyle w:val="Strong"/>
        </w:rPr>
        <w:t>11.</w:t>
      </w:r>
      <w:r>
        <w:t xml:space="preserve"> The amount an investment is worth after one or more periods of time is the: </w:t>
      </w:r>
      <w:r>
        <w:br/>
        <w:t xml:space="preserve">       </w:t>
      </w:r>
      <w:r>
        <w:object w:dxaOrig="405" w:dyaOrig="360">
          <v:shape id="_x0000_i1194" type="#_x0000_t75" style="width:20.25pt;height:18pt" o:ole="">
            <v:imagedata r:id="rId4" o:title=""/>
          </v:shape>
          <w:control r:id="rId45" w:name="DefaultOcxName40" w:shapeid="_x0000_i1194"/>
        </w:object>
      </w:r>
      <w:proofErr w:type="spellStart"/>
      <w:r>
        <w:t>Coumpound</w:t>
      </w:r>
      <w:proofErr w:type="spellEnd"/>
      <w:r>
        <w:t xml:space="preserve"> interest rate </w:t>
      </w:r>
      <w:r>
        <w:br/>
        <w:t xml:space="preserve">       </w:t>
      </w:r>
      <w:r>
        <w:object w:dxaOrig="405" w:dyaOrig="360">
          <v:shape id="_x0000_i1193" type="#_x0000_t75" style="width:20.25pt;height:18pt" o:ole="">
            <v:imagedata r:id="rId4" o:title=""/>
          </v:shape>
          <w:control r:id="rId46" w:name="DefaultOcxName41" w:shapeid="_x0000_i1193"/>
        </w:object>
      </w:r>
      <w:r>
        <w:t xml:space="preserve">Principal value </w:t>
      </w:r>
      <w:r>
        <w:br/>
        <w:t xml:space="preserve">       </w:t>
      </w:r>
      <w:r>
        <w:object w:dxaOrig="405" w:dyaOrig="360">
          <v:shape id="_x0000_i1192" type="#_x0000_t75" style="width:20.25pt;height:18pt" o:ole="">
            <v:imagedata r:id="rId4" o:title=""/>
          </v:shape>
          <w:control r:id="rId47" w:name="DefaultOcxName42" w:shapeid="_x0000_i1192"/>
        </w:object>
      </w:r>
      <w:r>
        <w:t xml:space="preserve">Future Value </w:t>
      </w:r>
      <w:r>
        <w:br/>
        <w:t xml:space="preserve">       </w:t>
      </w:r>
      <w:r>
        <w:object w:dxaOrig="405" w:dyaOrig="360">
          <v:shape id="_x0000_i1191" type="#_x0000_t75" style="width:20.25pt;height:18pt" o:ole="">
            <v:imagedata r:id="rId4" o:title=""/>
          </v:shape>
          <w:control r:id="rId48" w:name="DefaultOcxName43" w:shapeid="_x0000_i1191"/>
        </w:object>
      </w:r>
      <w:r>
        <w:t xml:space="preserve">Present Value </w:t>
      </w:r>
      <w:r>
        <w:br/>
      </w:r>
      <w:r>
        <w:br/>
      </w:r>
      <w:r>
        <w:br/>
      </w:r>
      <w:r>
        <w:rPr>
          <w:rStyle w:val="Strong"/>
        </w:rPr>
        <w:t>12.</w:t>
      </w:r>
      <w:r>
        <w:t xml:space="preserve"> The process of accumulating interest on an investment over time to earn more interest is called.       </w:t>
      </w:r>
      <w:r>
        <w:object w:dxaOrig="405" w:dyaOrig="360">
          <v:shape id="_x0000_i1190" type="#_x0000_t75" style="width:20.25pt;height:18pt" o:ole="">
            <v:imagedata r:id="rId4" o:title=""/>
          </v:shape>
          <w:control r:id="rId49" w:name="DefaultOcxName44" w:shapeid="_x0000_i1190"/>
        </w:object>
      </w:r>
      <w:proofErr w:type="gramStart"/>
      <w:r>
        <w:t xml:space="preserve">Growth </w:t>
      </w:r>
      <w:r>
        <w:br/>
        <w:t xml:space="preserve">       </w:t>
      </w:r>
      <w:r>
        <w:object w:dxaOrig="405" w:dyaOrig="360">
          <v:shape id="_x0000_i1189" type="#_x0000_t75" style="width:20.25pt;height:18pt" o:ole="">
            <v:imagedata r:id="rId4" o:title=""/>
          </v:shape>
          <w:control r:id="rId50" w:name="DefaultOcxName45" w:shapeid="_x0000_i1189"/>
        </w:object>
      </w:r>
      <w:r>
        <w:t xml:space="preserve">Simple interest </w:t>
      </w:r>
      <w:r>
        <w:br/>
        <w:t xml:space="preserve">       </w:t>
      </w:r>
      <w:r>
        <w:object w:dxaOrig="405" w:dyaOrig="360">
          <v:shape id="_x0000_i1188" type="#_x0000_t75" style="width:20.25pt;height:18pt" o:ole="">
            <v:imagedata r:id="rId4" o:title=""/>
          </v:shape>
          <w:control r:id="rId51" w:name="DefaultOcxName46" w:shapeid="_x0000_i1188"/>
        </w:object>
      </w:r>
      <w:r>
        <w:t xml:space="preserve">Compound interest </w:t>
      </w:r>
      <w:r>
        <w:br/>
        <w:t xml:space="preserve">       </w:t>
      </w:r>
      <w:r>
        <w:object w:dxaOrig="405" w:dyaOrig="360">
          <v:shape id="_x0000_i1187" type="#_x0000_t75" style="width:20.25pt;height:18pt" o:ole="">
            <v:imagedata r:id="rId4" o:title=""/>
          </v:shape>
          <w:control r:id="rId52" w:name="DefaultOcxName47" w:shapeid="_x0000_i1187"/>
        </w:object>
      </w:r>
      <w:r>
        <w:t xml:space="preserve">Aggregate interest </w:t>
      </w:r>
      <w:r>
        <w:br/>
      </w:r>
      <w:r>
        <w:br/>
      </w:r>
      <w:r>
        <w:br/>
      </w:r>
      <w:r>
        <w:rPr>
          <w:rStyle w:val="Strong"/>
        </w:rPr>
        <w:t>13.</w:t>
      </w:r>
      <w:proofErr w:type="gramEnd"/>
      <w:r>
        <w:t> The current value of future cash flows discounted at the appropriate discount rate is called:</w:t>
      </w:r>
    </w:p>
    <w:p w:rsidR="006A73AE" w:rsidRDefault="00532D4A">
      <w:r>
        <w:t xml:space="preserve">       </w:t>
      </w:r>
      <w:r>
        <w:object w:dxaOrig="405" w:dyaOrig="360">
          <v:shape id="_x0000_i1186" type="#_x0000_t75" style="width:20.25pt;height:18pt" o:ole="">
            <v:imagedata r:id="rId4" o:title=""/>
          </v:shape>
          <w:control r:id="rId53" w:name="DefaultOcxName48" w:shapeid="_x0000_i1186"/>
        </w:object>
      </w:r>
      <w:r>
        <w:t xml:space="preserve">Principal value </w:t>
      </w:r>
      <w:r>
        <w:br/>
        <w:t xml:space="preserve">       </w:t>
      </w:r>
      <w:r>
        <w:object w:dxaOrig="405" w:dyaOrig="360">
          <v:shape id="_x0000_i1185" type="#_x0000_t75" style="width:20.25pt;height:18pt" o:ole="">
            <v:imagedata r:id="rId4" o:title=""/>
          </v:shape>
          <w:control r:id="rId54" w:name="DefaultOcxName49" w:shapeid="_x0000_i1185"/>
        </w:object>
      </w:r>
      <w:r>
        <w:t xml:space="preserve">Future Value </w:t>
      </w:r>
      <w:r>
        <w:br/>
        <w:t xml:space="preserve">       </w:t>
      </w:r>
      <w:r>
        <w:object w:dxaOrig="405" w:dyaOrig="360">
          <v:shape id="_x0000_i1184" type="#_x0000_t75" style="width:20.25pt;height:18pt" o:ole="">
            <v:imagedata r:id="rId4" o:title=""/>
          </v:shape>
          <w:control r:id="rId55" w:name="DefaultOcxName50" w:shapeid="_x0000_i1184"/>
        </w:object>
      </w:r>
      <w:r>
        <w:t xml:space="preserve">Present value </w:t>
      </w:r>
      <w:r>
        <w:br/>
        <w:t xml:space="preserve">       </w:t>
      </w:r>
      <w:r>
        <w:object w:dxaOrig="405" w:dyaOrig="360">
          <v:shape id="_x0000_i1183" type="#_x0000_t75" style="width:20.25pt;height:18pt" o:ole="">
            <v:imagedata r:id="rId4" o:title=""/>
          </v:shape>
          <w:control r:id="rId56" w:name="DefaultOcxName51" w:shapeid="_x0000_i1183"/>
        </w:object>
      </w:r>
      <w:r>
        <w:t xml:space="preserve">compound interest rate </w:t>
      </w:r>
      <w:r>
        <w:br/>
      </w:r>
      <w:r>
        <w:br/>
      </w:r>
      <w:r>
        <w:br/>
      </w:r>
      <w:r>
        <w:rPr>
          <w:rStyle w:val="Strong"/>
        </w:rPr>
        <w:t>14.</w:t>
      </w:r>
      <w:r>
        <w:t xml:space="preserve"> The process of finding the present value of some </w:t>
      </w:r>
      <w:r w:rsidR="006A73AE">
        <w:t xml:space="preserve">future amount is often called: </w:t>
      </w:r>
    </w:p>
    <w:p w:rsidR="006A73AE" w:rsidRDefault="00532D4A">
      <w:r>
        <w:t xml:space="preserve">       </w:t>
      </w:r>
      <w:r>
        <w:object w:dxaOrig="405" w:dyaOrig="360">
          <v:shape id="_x0000_i1182" type="#_x0000_t75" style="width:20.25pt;height:18pt" o:ole="">
            <v:imagedata r:id="rId4" o:title=""/>
          </v:shape>
          <w:control r:id="rId57" w:name="DefaultOcxName52" w:shapeid="_x0000_i1182"/>
        </w:object>
      </w:r>
      <w:r>
        <w:t xml:space="preserve">Growth </w:t>
      </w:r>
      <w:r>
        <w:br/>
        <w:t xml:space="preserve">       </w:t>
      </w:r>
      <w:r>
        <w:object w:dxaOrig="405" w:dyaOrig="360">
          <v:shape id="_x0000_i1181" type="#_x0000_t75" style="width:20.25pt;height:18pt" o:ole="">
            <v:imagedata r:id="rId4" o:title=""/>
          </v:shape>
          <w:control r:id="rId58" w:name="DefaultOcxName53" w:shapeid="_x0000_i1181"/>
        </w:object>
      </w:r>
      <w:r>
        <w:t xml:space="preserve">Discounting </w:t>
      </w:r>
      <w:r>
        <w:br/>
      </w:r>
      <w:r>
        <w:lastRenderedPageBreak/>
        <w:t xml:space="preserve">       </w:t>
      </w:r>
      <w:r>
        <w:object w:dxaOrig="405" w:dyaOrig="360">
          <v:shape id="_x0000_i1180" type="#_x0000_t75" style="width:20.25pt;height:18pt" o:ole="">
            <v:imagedata r:id="rId4" o:title=""/>
          </v:shape>
          <w:control r:id="rId59" w:name="DefaultOcxName54" w:shapeid="_x0000_i1180"/>
        </w:object>
      </w:r>
      <w:r>
        <w:t xml:space="preserve">compounding </w:t>
      </w:r>
      <w:r>
        <w:br/>
        <w:t xml:space="preserve">       </w:t>
      </w:r>
      <w:r>
        <w:object w:dxaOrig="405" w:dyaOrig="360">
          <v:shape id="_x0000_i1179" type="#_x0000_t75" style="width:20.25pt;height:18pt" o:ole="">
            <v:imagedata r:id="rId4" o:title=""/>
          </v:shape>
          <w:control r:id="rId60" w:name="DefaultOcxName55" w:shapeid="_x0000_i1179"/>
        </w:object>
      </w:r>
      <w:r>
        <w:t xml:space="preserve">accumulation </w:t>
      </w:r>
      <w:r>
        <w:br/>
      </w:r>
      <w:r>
        <w:br/>
      </w:r>
      <w:r>
        <w:br/>
      </w:r>
      <w:r>
        <w:rPr>
          <w:rStyle w:val="Strong"/>
        </w:rPr>
        <w:t>15.</w:t>
      </w:r>
      <w:r>
        <w:t xml:space="preserve"> The stated interest payment, in dollars, made on a bond each period is called the </w:t>
      </w:r>
      <w:proofErr w:type="gramStart"/>
      <w:r>
        <w:t>bond's</w:t>
      </w:r>
      <w:proofErr w:type="gramEnd"/>
      <w:r>
        <w:t>:</w:t>
      </w:r>
      <w:r>
        <w:br/>
        <w:t xml:space="preserve">       </w:t>
      </w:r>
      <w:r>
        <w:object w:dxaOrig="405" w:dyaOrig="360">
          <v:shape id="_x0000_i1178" type="#_x0000_t75" style="width:20.25pt;height:18pt" o:ole="">
            <v:imagedata r:id="rId4" o:title=""/>
          </v:shape>
          <w:control r:id="rId61" w:name="DefaultOcxName56" w:shapeid="_x0000_i1178"/>
        </w:object>
      </w:r>
      <w:r>
        <w:t xml:space="preserve">Coupon </w:t>
      </w:r>
      <w:r>
        <w:br/>
        <w:t xml:space="preserve">       </w:t>
      </w:r>
      <w:r>
        <w:object w:dxaOrig="405" w:dyaOrig="360">
          <v:shape id="_x0000_i1177" type="#_x0000_t75" style="width:20.25pt;height:18pt" o:ole="">
            <v:imagedata r:id="rId4" o:title=""/>
          </v:shape>
          <w:control r:id="rId62" w:name="DefaultOcxName57" w:shapeid="_x0000_i1177"/>
        </w:object>
      </w:r>
      <w:r>
        <w:t xml:space="preserve">Face value </w:t>
      </w:r>
      <w:r>
        <w:br/>
        <w:t xml:space="preserve">       </w:t>
      </w:r>
      <w:r>
        <w:object w:dxaOrig="405" w:dyaOrig="360">
          <v:shape id="_x0000_i1176" type="#_x0000_t75" style="width:20.25pt;height:18pt" o:ole="">
            <v:imagedata r:id="rId4" o:title=""/>
          </v:shape>
          <w:control r:id="rId63" w:name="DefaultOcxName58" w:shapeid="_x0000_i1176"/>
        </w:object>
      </w:r>
      <w:r>
        <w:t xml:space="preserve">Maturity </w:t>
      </w:r>
      <w:r>
        <w:br/>
        <w:t xml:space="preserve">       </w:t>
      </w:r>
      <w:r>
        <w:object w:dxaOrig="405" w:dyaOrig="360">
          <v:shape id="_x0000_i1175" type="#_x0000_t75" style="width:20.25pt;height:18pt" o:ole="">
            <v:imagedata r:id="rId4" o:title=""/>
          </v:shape>
          <w:control r:id="rId64" w:name="DefaultOcxName59" w:shapeid="_x0000_i1175"/>
        </w:object>
      </w:r>
      <w:r>
        <w:t xml:space="preserve">Yield to maturity </w:t>
      </w:r>
      <w:r>
        <w:br/>
      </w:r>
      <w:r>
        <w:br/>
      </w:r>
      <w:r>
        <w:br/>
      </w:r>
      <w:r>
        <w:rPr>
          <w:rStyle w:val="Strong"/>
        </w:rPr>
        <w:t>16.</w:t>
      </w:r>
      <w:r>
        <w:t> A stock's next expected dividend divided by the current stock price is the</w:t>
      </w:r>
      <w:r w:rsidR="006A73AE">
        <w:t>:</w:t>
      </w:r>
      <w:r>
        <w:br/>
        <w:t xml:space="preserve">       </w:t>
      </w:r>
      <w:r>
        <w:object w:dxaOrig="405" w:dyaOrig="360">
          <v:shape id="_x0000_i1174" type="#_x0000_t75" style="width:20.25pt;height:18pt" o:ole="">
            <v:imagedata r:id="rId4" o:title=""/>
          </v:shape>
          <w:control r:id="rId65" w:name="DefaultOcxName60" w:shapeid="_x0000_i1174"/>
        </w:object>
      </w:r>
      <w:r>
        <w:t xml:space="preserve">Current yield </w:t>
      </w:r>
      <w:r>
        <w:br/>
        <w:t xml:space="preserve">       </w:t>
      </w:r>
      <w:r>
        <w:object w:dxaOrig="405" w:dyaOrig="360">
          <v:shape id="_x0000_i1173" type="#_x0000_t75" style="width:20.25pt;height:18pt" o:ole="">
            <v:imagedata r:id="rId4" o:title=""/>
          </v:shape>
          <w:control r:id="rId66" w:name="DefaultOcxName61" w:shapeid="_x0000_i1173"/>
        </w:object>
      </w:r>
      <w:r>
        <w:t xml:space="preserve">Total yield </w:t>
      </w:r>
      <w:r>
        <w:br/>
        <w:t xml:space="preserve">       </w:t>
      </w:r>
      <w:r>
        <w:object w:dxaOrig="405" w:dyaOrig="360">
          <v:shape id="_x0000_i1172" type="#_x0000_t75" style="width:20.25pt;height:18pt" o:ole="">
            <v:imagedata r:id="rId4" o:title=""/>
          </v:shape>
          <w:control r:id="rId67" w:name="DefaultOcxName62" w:shapeid="_x0000_i1172"/>
        </w:object>
      </w:r>
      <w:r>
        <w:t xml:space="preserve">Dividend yield </w:t>
      </w:r>
      <w:r>
        <w:br/>
        <w:t xml:space="preserve">       </w:t>
      </w:r>
      <w:r>
        <w:object w:dxaOrig="405" w:dyaOrig="360">
          <v:shape id="_x0000_i1171" type="#_x0000_t75" style="width:20.25pt;height:18pt" o:ole="">
            <v:imagedata r:id="rId4" o:title=""/>
          </v:shape>
          <w:control r:id="rId68" w:name="DefaultOcxName63" w:shapeid="_x0000_i1171"/>
        </w:object>
      </w:r>
      <w:proofErr w:type="gramStart"/>
      <w:r>
        <w:t>Earning</w:t>
      </w:r>
      <w:proofErr w:type="gramEnd"/>
      <w:r>
        <w:t xml:space="preserve"> yield </w:t>
      </w:r>
      <w:r>
        <w:br/>
      </w:r>
      <w:r>
        <w:br/>
      </w:r>
      <w:r>
        <w:br/>
      </w:r>
      <w:r>
        <w:rPr>
          <w:rStyle w:val="Strong"/>
        </w:rPr>
        <w:t>17.</w:t>
      </w:r>
      <w:r>
        <w:t xml:space="preserve"> The fixed asset turnover ratio is measured as: </w:t>
      </w:r>
      <w:r>
        <w:br/>
        <w:t xml:space="preserve">       </w:t>
      </w:r>
      <w:r>
        <w:object w:dxaOrig="405" w:dyaOrig="360">
          <v:shape id="_x0000_i1170" type="#_x0000_t75" style="width:20.25pt;height:18pt" o:ole="">
            <v:imagedata r:id="rId4" o:title=""/>
          </v:shape>
          <w:control r:id="rId69" w:name="DefaultOcxName64" w:shapeid="_x0000_i1170"/>
        </w:object>
      </w:r>
      <w:r>
        <w:t xml:space="preserve">Sales minus net fixed assets. </w:t>
      </w:r>
      <w:r>
        <w:br/>
        <w:t xml:space="preserve">       </w:t>
      </w:r>
      <w:r>
        <w:object w:dxaOrig="405" w:dyaOrig="360">
          <v:shape id="_x0000_i1169" type="#_x0000_t75" style="width:20.25pt;height:18pt" o:ole="">
            <v:imagedata r:id="rId4" o:title=""/>
          </v:shape>
          <w:control r:id="rId70" w:name="DefaultOcxName65" w:shapeid="_x0000_i1169"/>
        </w:object>
      </w:r>
      <w:r>
        <w:t xml:space="preserve">Sales times net fixed assets. </w:t>
      </w:r>
      <w:r>
        <w:br/>
        <w:t xml:space="preserve">       </w:t>
      </w:r>
      <w:r>
        <w:object w:dxaOrig="405" w:dyaOrig="360">
          <v:shape id="_x0000_i1168" type="#_x0000_t75" style="width:20.25pt;height:18pt" o:ole="">
            <v:imagedata r:id="rId4" o:title=""/>
          </v:shape>
          <w:control r:id="rId71" w:name="DefaultOcxName66" w:shapeid="_x0000_i1168"/>
        </w:object>
      </w:r>
      <w:r>
        <w:t xml:space="preserve">Sales divided by net fixed assets. </w:t>
      </w:r>
      <w:r>
        <w:br/>
        <w:t xml:space="preserve">       </w:t>
      </w:r>
      <w:r>
        <w:object w:dxaOrig="405" w:dyaOrig="360">
          <v:shape id="_x0000_i1167" type="#_x0000_t75" style="width:20.25pt;height:18pt" o:ole="">
            <v:imagedata r:id="rId4" o:title=""/>
          </v:shape>
          <w:control r:id="rId72" w:name="DefaultOcxName67" w:shapeid="_x0000_i1167"/>
        </w:object>
      </w:r>
      <w:r>
        <w:t xml:space="preserve">Net fixed </w:t>
      </w:r>
      <w:proofErr w:type="spellStart"/>
      <w:r>
        <w:t>assests</w:t>
      </w:r>
      <w:proofErr w:type="spellEnd"/>
      <w:r>
        <w:t xml:space="preserve"> divided by sales. </w:t>
      </w:r>
      <w:r>
        <w:br/>
      </w:r>
      <w:r>
        <w:br/>
      </w:r>
      <w:r>
        <w:br/>
      </w:r>
      <w:r>
        <w:rPr>
          <w:rStyle w:val="Strong"/>
        </w:rPr>
        <w:t>18.</w:t>
      </w:r>
      <w:r>
        <w:t xml:space="preserve"> The financial ratio measured as net income dividend by total assets is know as the firm's: </w:t>
      </w:r>
      <w:r>
        <w:br/>
        <w:t xml:space="preserve">       </w:t>
      </w:r>
      <w:r>
        <w:object w:dxaOrig="405" w:dyaOrig="360">
          <v:shape id="_x0000_i1166" type="#_x0000_t75" style="width:20.25pt;height:18pt" o:ole="">
            <v:imagedata r:id="rId4" o:title=""/>
          </v:shape>
          <w:control r:id="rId73" w:name="DefaultOcxName68" w:shapeid="_x0000_i1166"/>
        </w:object>
      </w:r>
      <w:r>
        <w:t xml:space="preserve">Profit margin </w:t>
      </w:r>
      <w:r>
        <w:br/>
        <w:t xml:space="preserve">       </w:t>
      </w:r>
      <w:r>
        <w:object w:dxaOrig="405" w:dyaOrig="360">
          <v:shape id="_x0000_i1165" type="#_x0000_t75" style="width:20.25pt;height:18pt" o:ole="">
            <v:imagedata r:id="rId4" o:title=""/>
          </v:shape>
          <w:control r:id="rId74" w:name="DefaultOcxName69" w:shapeid="_x0000_i1165"/>
        </w:object>
      </w:r>
      <w:r>
        <w:t xml:space="preserve">Return on assets </w:t>
      </w:r>
      <w:r>
        <w:br/>
        <w:t xml:space="preserve">       </w:t>
      </w:r>
      <w:r>
        <w:object w:dxaOrig="405" w:dyaOrig="360">
          <v:shape id="_x0000_i1164" type="#_x0000_t75" style="width:20.25pt;height:18pt" o:ole="">
            <v:imagedata r:id="rId4" o:title=""/>
          </v:shape>
          <w:control r:id="rId75" w:name="DefaultOcxName70" w:shapeid="_x0000_i1164"/>
        </w:object>
      </w:r>
      <w:r>
        <w:t xml:space="preserve">Asset turnover </w:t>
      </w:r>
      <w:r>
        <w:br/>
        <w:t xml:space="preserve">       </w:t>
      </w:r>
      <w:r>
        <w:object w:dxaOrig="405" w:dyaOrig="360">
          <v:shape id="_x0000_i1163" type="#_x0000_t75" style="width:20.25pt;height:18pt" o:ole="">
            <v:imagedata r:id="rId4" o:title=""/>
          </v:shape>
          <w:control r:id="rId76" w:name="DefaultOcxName71" w:shapeid="_x0000_i1163"/>
        </w:object>
      </w:r>
      <w:r>
        <w:t xml:space="preserve">Return on </w:t>
      </w:r>
      <w:proofErr w:type="spellStart"/>
      <w:r>
        <w:t>equiyt</w:t>
      </w:r>
      <w:proofErr w:type="spellEnd"/>
      <w:r>
        <w:t xml:space="preserve"> </w:t>
      </w:r>
      <w:r>
        <w:br/>
      </w:r>
      <w:r>
        <w:br/>
      </w:r>
      <w:r>
        <w:br/>
      </w:r>
      <w:r>
        <w:rPr>
          <w:rStyle w:val="Strong"/>
        </w:rPr>
        <w:t>19.</w:t>
      </w:r>
      <w:r>
        <w:t xml:space="preserve"> Ratios that measure how efficiently a firm's management uses its assets in operations to generate </w:t>
      </w:r>
      <w:proofErr w:type="spellStart"/>
      <w:r>
        <w:lastRenderedPageBreak/>
        <w:t>bottomline</w:t>
      </w:r>
      <w:proofErr w:type="spellEnd"/>
      <w:r>
        <w:t xml:space="preserve"> net income are know as: </w:t>
      </w:r>
      <w:r>
        <w:br/>
        <w:t xml:space="preserve">       </w:t>
      </w:r>
      <w:r>
        <w:object w:dxaOrig="405" w:dyaOrig="360">
          <v:shape id="_x0000_i1162" type="#_x0000_t75" style="width:20.25pt;height:18pt" o:ole="">
            <v:imagedata r:id="rId4" o:title=""/>
          </v:shape>
          <w:control r:id="rId77" w:name="DefaultOcxName72" w:shapeid="_x0000_i1162"/>
        </w:object>
      </w:r>
      <w:r>
        <w:t xml:space="preserve">Assets management ratios. </w:t>
      </w:r>
      <w:r>
        <w:br/>
        <w:t xml:space="preserve">       </w:t>
      </w:r>
      <w:r>
        <w:object w:dxaOrig="405" w:dyaOrig="360">
          <v:shape id="_x0000_i1161" type="#_x0000_t75" style="width:20.25pt;height:18pt" o:ole="">
            <v:imagedata r:id="rId4" o:title=""/>
          </v:shape>
          <w:control r:id="rId78" w:name="DefaultOcxName73" w:shapeid="_x0000_i1161"/>
        </w:object>
      </w:r>
      <w:proofErr w:type="gramStart"/>
      <w:r>
        <w:t>Long-term solvency ratios.</w:t>
      </w:r>
      <w:proofErr w:type="gramEnd"/>
      <w:r>
        <w:t xml:space="preserve"> </w:t>
      </w:r>
      <w:r>
        <w:br/>
        <w:t xml:space="preserve">       </w:t>
      </w:r>
      <w:r>
        <w:object w:dxaOrig="405" w:dyaOrig="360">
          <v:shape id="_x0000_i1160" type="#_x0000_t75" style="width:20.25pt;height:18pt" o:ole="">
            <v:imagedata r:id="rId4" o:title=""/>
          </v:shape>
          <w:control r:id="rId79" w:name="DefaultOcxName74" w:shapeid="_x0000_i1160"/>
        </w:object>
      </w:r>
      <w:proofErr w:type="gramStart"/>
      <w:r>
        <w:t>Short-term solvency ratios.</w:t>
      </w:r>
      <w:proofErr w:type="gramEnd"/>
      <w:r>
        <w:t xml:space="preserve"> </w:t>
      </w:r>
      <w:r>
        <w:br/>
        <w:t xml:space="preserve">       </w:t>
      </w:r>
      <w:r>
        <w:object w:dxaOrig="405" w:dyaOrig="360">
          <v:shape id="_x0000_i1159" type="#_x0000_t75" style="width:20.25pt;height:18pt" o:ole="">
            <v:imagedata r:id="rId4" o:title=""/>
          </v:shape>
          <w:control r:id="rId80" w:name="DefaultOcxName75" w:shapeid="_x0000_i1159"/>
        </w:object>
      </w:r>
      <w:proofErr w:type="gramStart"/>
      <w:r>
        <w:t>Profitability ratios.</w:t>
      </w:r>
      <w:proofErr w:type="gramEnd"/>
      <w:r>
        <w:t xml:space="preserve"> </w:t>
      </w:r>
      <w:r>
        <w:br/>
        <w:t xml:space="preserve">       </w:t>
      </w:r>
      <w:r>
        <w:object w:dxaOrig="405" w:dyaOrig="360">
          <v:shape id="_x0000_i1158" type="#_x0000_t75" style="width:20.25pt;height:18pt" o:ole="">
            <v:imagedata r:id="rId4" o:title=""/>
          </v:shape>
          <w:control r:id="rId81" w:name="DefaultOcxName76" w:shapeid="_x0000_i1158"/>
        </w:object>
      </w:r>
      <w:proofErr w:type="gramStart"/>
      <w:r>
        <w:t>Market value ratios.</w:t>
      </w:r>
      <w:proofErr w:type="gramEnd"/>
      <w:r>
        <w:t xml:space="preserve"> </w:t>
      </w:r>
      <w:r>
        <w:br/>
      </w:r>
      <w:r>
        <w:br/>
      </w:r>
      <w:r>
        <w:br/>
      </w:r>
      <w:r>
        <w:rPr>
          <w:rStyle w:val="Strong"/>
        </w:rPr>
        <w:t>20.</w:t>
      </w:r>
      <w:r>
        <w:t> The future value interest factor is calculated as: (Remember in my examples t = n.... time or number of periods, means the same thing)</w:t>
      </w:r>
      <w:r>
        <w:br/>
        <w:t xml:space="preserve">       </w:t>
      </w:r>
      <w:r>
        <w:object w:dxaOrig="405" w:dyaOrig="360">
          <v:shape id="_x0000_i1157" type="#_x0000_t75" style="width:20.25pt;height:18pt" o:ole="">
            <v:imagedata r:id="rId4" o:title=""/>
          </v:shape>
          <w:control r:id="rId82" w:name="DefaultOcxName77" w:shapeid="_x0000_i1157"/>
        </w:object>
      </w:r>
      <w:r>
        <w:t xml:space="preserve">(1 +  r)^t </w:t>
      </w:r>
      <w:r>
        <w:br/>
        <w:t xml:space="preserve">       </w:t>
      </w:r>
      <w:r>
        <w:object w:dxaOrig="405" w:dyaOrig="360">
          <v:shape id="_x0000_i1156" type="#_x0000_t75" style="width:20.25pt;height:18pt" o:ole="">
            <v:imagedata r:id="rId4" o:title=""/>
          </v:shape>
          <w:control r:id="rId83" w:name="DefaultOcxName78" w:shapeid="_x0000_i1156"/>
        </w:object>
      </w:r>
      <w:r>
        <w:t xml:space="preserve">(1 + </w:t>
      </w:r>
      <w:proofErr w:type="spellStart"/>
      <w:r>
        <w:t>rt</w:t>
      </w:r>
      <w:proofErr w:type="spellEnd"/>
      <w:r>
        <w:t xml:space="preserve">) </w:t>
      </w:r>
      <w:r>
        <w:br/>
        <w:t xml:space="preserve">       </w:t>
      </w:r>
      <w:r>
        <w:object w:dxaOrig="405" w:dyaOrig="360">
          <v:shape id="_x0000_i1155" type="#_x0000_t75" style="width:20.25pt;height:18pt" o:ole="">
            <v:imagedata r:id="rId4" o:title=""/>
          </v:shape>
          <w:control r:id="rId84" w:name="DefaultOcxName79" w:shapeid="_x0000_i1155"/>
        </w:object>
      </w:r>
      <w:r>
        <w:t xml:space="preserve">(1 + r)(t) </w:t>
      </w:r>
      <w:r>
        <w:br/>
        <w:t xml:space="preserve">       </w:t>
      </w:r>
      <w:r>
        <w:object w:dxaOrig="405" w:dyaOrig="360">
          <v:shape id="_x0000_i1154" type="#_x0000_t75" style="width:20.25pt;height:18pt" o:ole="">
            <v:imagedata r:id="rId4" o:title=""/>
          </v:shape>
          <w:control r:id="rId85" w:name="DefaultOcxName80" w:shapeid="_x0000_i1154"/>
        </w:object>
      </w:r>
      <w:r>
        <w:t xml:space="preserve">1 + r - t </w:t>
      </w:r>
      <w:r>
        <w:br/>
      </w:r>
      <w:r>
        <w:br/>
      </w:r>
      <w:r>
        <w:br/>
      </w:r>
      <w:r>
        <w:rPr>
          <w:rStyle w:val="Strong"/>
        </w:rPr>
        <w:t>21.</w:t>
      </w:r>
      <w:r>
        <w:t> Equity without priority for dividends or in the event of bankruptcy is called:</w:t>
      </w:r>
    </w:p>
    <w:p w:rsidR="004E2786" w:rsidRDefault="00532D4A">
      <w:r>
        <w:t xml:space="preserve">       </w:t>
      </w:r>
      <w:r>
        <w:object w:dxaOrig="405" w:dyaOrig="360">
          <v:shape id="_x0000_i1153" type="#_x0000_t75" style="width:20.25pt;height:18pt" o:ole="">
            <v:imagedata r:id="rId4" o:title=""/>
          </v:shape>
          <w:control r:id="rId86" w:name="DefaultOcxName81" w:shapeid="_x0000_i1153"/>
        </w:object>
      </w:r>
      <w:proofErr w:type="gramStart"/>
      <w:r>
        <w:t xml:space="preserve">Dual class stock </w:t>
      </w:r>
      <w:r>
        <w:br/>
        <w:t xml:space="preserve">       </w:t>
      </w:r>
      <w:r>
        <w:object w:dxaOrig="405" w:dyaOrig="360">
          <v:shape id="_x0000_i1152" type="#_x0000_t75" style="width:20.25pt;height:18pt" o:ole="">
            <v:imagedata r:id="rId4" o:title=""/>
          </v:shape>
          <w:control r:id="rId87" w:name="DefaultOcxName82" w:shapeid="_x0000_i1152"/>
        </w:object>
      </w:r>
      <w:r>
        <w:t xml:space="preserve">Preferred stock </w:t>
      </w:r>
      <w:r>
        <w:br/>
        <w:t xml:space="preserve">       </w:t>
      </w:r>
      <w:r>
        <w:object w:dxaOrig="405" w:dyaOrig="360">
          <v:shape id="_x0000_i1151" type="#_x0000_t75" style="width:20.25pt;height:18pt" o:ole="">
            <v:imagedata r:id="rId4" o:title=""/>
          </v:shape>
          <w:control r:id="rId88" w:name="DefaultOcxName83" w:shapeid="_x0000_i1151"/>
        </w:object>
      </w:r>
      <w:r>
        <w:t xml:space="preserve">Common stock </w:t>
      </w:r>
      <w:r>
        <w:br/>
        <w:t xml:space="preserve">       </w:t>
      </w:r>
      <w:r>
        <w:object w:dxaOrig="405" w:dyaOrig="360">
          <v:shape id="_x0000_i1150" type="#_x0000_t75" style="width:20.25pt;height:18pt" o:ole="">
            <v:imagedata r:id="rId4" o:title=""/>
          </v:shape>
          <w:control r:id="rId89" w:name="DefaultOcxName84" w:shapeid="_x0000_i1150"/>
        </w:object>
      </w:r>
      <w:r>
        <w:t xml:space="preserve">Cumulative stock </w:t>
      </w:r>
      <w:r>
        <w:br/>
      </w:r>
      <w:r>
        <w:br/>
      </w:r>
      <w:r>
        <w:br/>
      </w:r>
      <w:r>
        <w:rPr>
          <w:rStyle w:val="Strong"/>
        </w:rPr>
        <w:t>22.</w:t>
      </w:r>
      <w:proofErr w:type="gramEnd"/>
      <w:r>
        <w:t> </w:t>
      </w:r>
      <w:r>
        <w:rPr>
          <w:rFonts w:ascii="Arial" w:hAnsi="Arial" w:cs="Arial"/>
        </w:rPr>
        <w:t xml:space="preserve">The rate at which the stock </w:t>
      </w:r>
      <w:r>
        <w:rPr>
          <w:rStyle w:val="Strong"/>
          <w:rFonts w:ascii="Arial" w:hAnsi="Arial" w:cs="Arial"/>
          <w:u w:val="single"/>
        </w:rPr>
        <w:t>price</w:t>
      </w:r>
      <w:r>
        <w:rPr>
          <w:rFonts w:ascii="Arial" w:hAnsi="Arial" w:cs="Arial"/>
        </w:rPr>
        <w:t xml:space="preserve"> is expected to appreciate (or depreciate) over time is the:</w:t>
      </w:r>
      <w:r>
        <w:t xml:space="preserve"> </w:t>
      </w:r>
      <w:r>
        <w:br/>
        <w:t xml:space="preserve">       </w:t>
      </w:r>
      <w:r>
        <w:object w:dxaOrig="405" w:dyaOrig="360">
          <v:shape id="_x0000_i1149" type="#_x0000_t75" style="width:20.25pt;height:18pt" o:ole="">
            <v:imagedata r:id="rId4" o:title=""/>
          </v:shape>
          <w:control r:id="rId90" w:name="DefaultOcxName85" w:shapeid="_x0000_i1149"/>
        </w:object>
      </w:r>
      <w:r>
        <w:t xml:space="preserve">Total yield </w:t>
      </w:r>
      <w:r>
        <w:br/>
        <w:t xml:space="preserve">       </w:t>
      </w:r>
      <w:r>
        <w:object w:dxaOrig="405" w:dyaOrig="360">
          <v:shape id="_x0000_i1148" type="#_x0000_t75" style="width:20.25pt;height:18pt" o:ole="">
            <v:imagedata r:id="rId4" o:title=""/>
          </v:shape>
          <w:control r:id="rId91" w:name="DefaultOcxName86" w:shapeid="_x0000_i1148"/>
        </w:object>
      </w:r>
      <w:r>
        <w:t xml:space="preserve">Current yield </w:t>
      </w:r>
      <w:r>
        <w:br/>
        <w:t xml:space="preserve">       </w:t>
      </w:r>
      <w:r>
        <w:object w:dxaOrig="405" w:dyaOrig="360">
          <v:shape id="_x0000_i1147" type="#_x0000_t75" style="width:20.25pt;height:18pt" o:ole="">
            <v:imagedata r:id="rId4" o:title=""/>
          </v:shape>
          <w:control r:id="rId92" w:name="DefaultOcxName87" w:shapeid="_x0000_i1147"/>
        </w:object>
      </w:r>
      <w:r>
        <w:t xml:space="preserve">Capital gains yield </w:t>
      </w:r>
      <w:r>
        <w:br/>
        <w:t xml:space="preserve">       </w:t>
      </w:r>
      <w:r>
        <w:object w:dxaOrig="405" w:dyaOrig="360">
          <v:shape id="_x0000_i1146" type="#_x0000_t75" style="width:20.25pt;height:18pt" o:ole="">
            <v:imagedata r:id="rId4" o:title=""/>
          </v:shape>
          <w:control r:id="rId93" w:name="DefaultOcxName88" w:shapeid="_x0000_i1146"/>
        </w:object>
      </w:r>
      <w:r>
        <w:t xml:space="preserve">Total yield </w:t>
      </w:r>
      <w:r>
        <w:br/>
        <w:t xml:space="preserve">       </w:t>
      </w:r>
      <w:r>
        <w:object w:dxaOrig="405" w:dyaOrig="360">
          <v:shape id="_x0000_i1145" type="#_x0000_t75" style="width:20.25pt;height:18pt" o:ole="">
            <v:imagedata r:id="rId4" o:title=""/>
          </v:shape>
          <w:control r:id="rId94" w:name="DefaultOcxName89" w:shapeid="_x0000_i1145"/>
        </w:object>
      </w:r>
      <w:r>
        <w:t xml:space="preserve">Earning yield </w:t>
      </w:r>
      <w:r>
        <w:br/>
      </w:r>
      <w:r>
        <w:br/>
      </w:r>
      <w:r>
        <w:br/>
      </w:r>
      <w:r>
        <w:rPr>
          <w:rStyle w:val="Strong"/>
        </w:rPr>
        <w:t>23.</w:t>
      </w:r>
      <w:r>
        <w:t xml:space="preserve"> Payments made by a corporation to its shareholders, in the form of either cash, stock, or payments </w:t>
      </w:r>
      <w:r>
        <w:lastRenderedPageBreak/>
        <w:t xml:space="preserve">in kind, are called: </w:t>
      </w:r>
      <w:r>
        <w:br/>
        <w:t xml:space="preserve">       </w:t>
      </w:r>
      <w:r>
        <w:object w:dxaOrig="405" w:dyaOrig="360">
          <v:shape id="_x0000_i1144" type="#_x0000_t75" style="width:20.25pt;height:18pt" o:ole="">
            <v:imagedata r:id="rId4" o:title=""/>
          </v:shape>
          <w:control r:id="rId95" w:name="DefaultOcxName90" w:shapeid="_x0000_i1144"/>
        </w:object>
      </w:r>
      <w:r>
        <w:t xml:space="preserve">Redistribution </w:t>
      </w:r>
      <w:r>
        <w:br/>
        <w:t xml:space="preserve">       </w:t>
      </w:r>
      <w:r>
        <w:object w:dxaOrig="405" w:dyaOrig="360">
          <v:shape id="_x0000_i1143" type="#_x0000_t75" style="width:20.25pt;height:18pt" o:ole="">
            <v:imagedata r:id="rId4" o:title=""/>
          </v:shape>
          <w:control r:id="rId96" w:name="DefaultOcxName91" w:shapeid="_x0000_i1143"/>
        </w:object>
      </w:r>
      <w:r>
        <w:t xml:space="preserve">Retained earnings </w:t>
      </w:r>
      <w:r>
        <w:br/>
        <w:t xml:space="preserve">       </w:t>
      </w:r>
      <w:r>
        <w:object w:dxaOrig="405" w:dyaOrig="360">
          <v:shape id="_x0000_i1142" type="#_x0000_t75" style="width:20.25pt;height:18pt" o:ole="">
            <v:imagedata r:id="rId4" o:title=""/>
          </v:shape>
          <w:control r:id="rId97" w:name="DefaultOcxName92" w:shapeid="_x0000_i1142"/>
        </w:object>
      </w:r>
      <w:r>
        <w:t xml:space="preserve">Dividends </w:t>
      </w:r>
      <w:r>
        <w:br/>
        <w:t xml:space="preserve">       </w:t>
      </w:r>
      <w:r>
        <w:object w:dxaOrig="405" w:dyaOrig="360">
          <v:shape id="_x0000_i1141" type="#_x0000_t75" style="width:20.25pt;height:18pt" o:ole="">
            <v:imagedata r:id="rId4" o:title=""/>
          </v:shape>
          <w:control r:id="rId98" w:name="DefaultOcxName93" w:shapeid="_x0000_i1141"/>
        </w:object>
      </w:r>
      <w:r>
        <w:t xml:space="preserve">Infused equity </w:t>
      </w:r>
      <w:r>
        <w:br/>
        <w:t xml:space="preserve">       </w:t>
      </w:r>
      <w:r>
        <w:object w:dxaOrig="405" w:dyaOrig="360">
          <v:shape id="_x0000_i1140" type="#_x0000_t75" style="width:20.25pt;height:18pt" o:ole="">
            <v:imagedata r:id="rId4" o:title=""/>
          </v:shape>
          <w:control r:id="rId99" w:name="DefaultOcxName94" w:shapeid="_x0000_i1140"/>
        </w:object>
      </w:r>
      <w:r>
        <w:t xml:space="preserve">Net income </w:t>
      </w:r>
      <w:r>
        <w:br/>
      </w:r>
      <w:r>
        <w:br/>
      </w:r>
      <w:r>
        <w:br/>
      </w:r>
      <w:r>
        <w:rPr>
          <w:rStyle w:val="Strong"/>
        </w:rPr>
        <w:t>24.</w:t>
      </w:r>
      <w:r>
        <w:t xml:space="preserve"> The market in which new securities are originally sold to investors is the ___________ market.       </w:t>
      </w:r>
      <w:proofErr w:type="gramStart"/>
      <w:r>
        <w:object w:dxaOrig="405" w:dyaOrig="360">
          <v:shape id="_x0000_i1139" type="#_x0000_t75" style="width:20.25pt;height:18pt" o:ole="">
            <v:imagedata r:id="rId4" o:title=""/>
          </v:shape>
          <w:control r:id="rId100" w:name="DefaultOcxName95" w:shapeid="_x0000_i1139"/>
        </w:object>
      </w:r>
      <w:r>
        <w:t xml:space="preserve">Dealer </w:t>
      </w:r>
      <w:r>
        <w:br/>
        <w:t xml:space="preserve">       </w:t>
      </w:r>
      <w:r>
        <w:object w:dxaOrig="405" w:dyaOrig="360">
          <v:shape id="_x0000_i1138" type="#_x0000_t75" style="width:20.25pt;height:18pt" o:ole="">
            <v:imagedata r:id="rId4" o:title=""/>
          </v:shape>
          <w:control r:id="rId101" w:name="DefaultOcxName96" w:shapeid="_x0000_i1138"/>
        </w:object>
      </w:r>
      <w:r>
        <w:t xml:space="preserve">Auction </w:t>
      </w:r>
      <w:r>
        <w:br/>
        <w:t xml:space="preserve">       </w:t>
      </w:r>
      <w:r>
        <w:object w:dxaOrig="405" w:dyaOrig="360">
          <v:shape id="_x0000_i1137" type="#_x0000_t75" style="width:20.25pt;height:18pt" o:ole="">
            <v:imagedata r:id="rId4" o:title=""/>
          </v:shape>
          <w:control r:id="rId102" w:name="DefaultOcxName97" w:shapeid="_x0000_i1137"/>
        </w:object>
      </w:r>
      <w:r>
        <w:t xml:space="preserve">Over-the-counter (OTC) </w:t>
      </w:r>
      <w:r>
        <w:br/>
        <w:t xml:space="preserve">       </w:t>
      </w:r>
      <w:r>
        <w:object w:dxaOrig="405" w:dyaOrig="360">
          <v:shape id="_x0000_i1136" type="#_x0000_t75" style="width:20.25pt;height:18pt" o:ole="">
            <v:imagedata r:id="rId4" o:title=""/>
          </v:shape>
          <w:control r:id="rId103" w:name="DefaultOcxName98" w:shapeid="_x0000_i1136"/>
        </w:object>
      </w:r>
      <w:r>
        <w:t xml:space="preserve">Primary </w:t>
      </w:r>
      <w:r>
        <w:br/>
        <w:t xml:space="preserve">       </w:t>
      </w:r>
      <w:r>
        <w:object w:dxaOrig="405" w:dyaOrig="360">
          <v:shape id="_x0000_i1135" type="#_x0000_t75" style="width:20.25pt;height:18pt" o:ole="">
            <v:imagedata r:id="rId4" o:title=""/>
          </v:shape>
          <w:control r:id="rId104" w:name="DefaultOcxName99" w:shapeid="_x0000_i1135"/>
        </w:object>
      </w:r>
      <w:r>
        <w:t xml:space="preserve">Secondary </w:t>
      </w:r>
      <w:r>
        <w:br/>
      </w:r>
      <w:r>
        <w:br/>
      </w:r>
      <w:r>
        <w:br/>
      </w:r>
      <w:r>
        <w:rPr>
          <w:rStyle w:val="Strong"/>
        </w:rPr>
        <w:t>25.</w:t>
      </w:r>
      <w:proofErr w:type="gramEnd"/>
      <w:r>
        <w:t xml:space="preserve"> The market in which previously issued securities are traded </w:t>
      </w:r>
      <w:proofErr w:type="spellStart"/>
      <w:r>
        <w:t>amoung</w:t>
      </w:r>
      <w:proofErr w:type="spellEnd"/>
      <w:r>
        <w:t xml:space="preserve"> investors in the: </w:t>
      </w:r>
      <w:r>
        <w:br/>
        <w:t xml:space="preserve">       </w:t>
      </w:r>
      <w:r>
        <w:object w:dxaOrig="405" w:dyaOrig="360">
          <v:shape id="_x0000_i1134" type="#_x0000_t75" style="width:20.25pt;height:18pt" o:ole="">
            <v:imagedata r:id="rId4" o:title=""/>
          </v:shape>
          <w:control r:id="rId105" w:name="DefaultOcxName100" w:shapeid="_x0000_i1134"/>
        </w:object>
      </w:r>
      <w:r>
        <w:t xml:space="preserve">Primary market </w:t>
      </w:r>
      <w:r>
        <w:br/>
        <w:t xml:space="preserve">       </w:t>
      </w:r>
      <w:r>
        <w:object w:dxaOrig="405" w:dyaOrig="360">
          <v:shape id="_x0000_i1133" type="#_x0000_t75" style="width:20.25pt;height:18pt" o:ole="">
            <v:imagedata r:id="rId4" o:title=""/>
          </v:shape>
          <w:control r:id="rId106" w:name="DefaultOcxName101" w:shapeid="_x0000_i1133"/>
        </w:object>
      </w:r>
      <w:r>
        <w:t xml:space="preserve">Dealer market </w:t>
      </w:r>
      <w:r>
        <w:br/>
        <w:t xml:space="preserve">       </w:t>
      </w:r>
      <w:r>
        <w:object w:dxaOrig="405" w:dyaOrig="360">
          <v:shape id="_x0000_i1132" type="#_x0000_t75" style="width:20.25pt;height:18pt" o:ole="">
            <v:imagedata r:id="rId4" o:title=""/>
          </v:shape>
          <w:control r:id="rId107" w:name="DefaultOcxName102" w:shapeid="_x0000_i1132"/>
        </w:object>
      </w:r>
      <w:r>
        <w:t xml:space="preserve">Secondary market </w:t>
      </w:r>
      <w:r>
        <w:br/>
        <w:t xml:space="preserve">       </w:t>
      </w:r>
      <w:r>
        <w:object w:dxaOrig="405" w:dyaOrig="360">
          <v:shape id="_x0000_i1131" type="#_x0000_t75" style="width:20.25pt;height:18pt" o:ole="">
            <v:imagedata r:id="rId4" o:title=""/>
          </v:shape>
          <w:control r:id="rId108" w:name="DefaultOcxName103" w:shapeid="_x0000_i1131"/>
        </w:object>
      </w:r>
      <w:r>
        <w:t xml:space="preserve">Auction market </w:t>
      </w:r>
      <w:r>
        <w:br/>
        <w:t xml:space="preserve">       </w:t>
      </w:r>
      <w:r>
        <w:object w:dxaOrig="405" w:dyaOrig="360">
          <v:shape id="_x0000_i1130" type="#_x0000_t75" style="width:20.25pt;height:18pt" o:ole="">
            <v:imagedata r:id="rId4" o:title=""/>
          </v:shape>
          <w:control r:id="rId109" w:name="DefaultOcxName104" w:shapeid="_x0000_i1130"/>
        </w:object>
      </w:r>
      <w:r>
        <w:t>OTC</w:t>
      </w:r>
    </w:p>
    <w:sectPr w:rsidR="004E2786" w:rsidSect="004E2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2D4A"/>
    <w:rsid w:val="004E2786"/>
    <w:rsid w:val="00532D4A"/>
    <w:rsid w:val="006A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32D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2.xml"/><Relationship Id="rId21" Type="http://schemas.openxmlformats.org/officeDocument/2006/relationships/control" Target="activeX/activeX17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63" Type="http://schemas.openxmlformats.org/officeDocument/2006/relationships/control" Target="activeX/activeX59.xml"/><Relationship Id="rId68" Type="http://schemas.openxmlformats.org/officeDocument/2006/relationships/control" Target="activeX/activeX64.xml"/><Relationship Id="rId84" Type="http://schemas.openxmlformats.org/officeDocument/2006/relationships/control" Target="activeX/activeX80.xml"/><Relationship Id="rId89" Type="http://schemas.openxmlformats.org/officeDocument/2006/relationships/control" Target="activeX/activeX85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9" Type="http://schemas.openxmlformats.org/officeDocument/2006/relationships/control" Target="activeX/activeX25.xml"/><Relationship Id="rId107" Type="http://schemas.openxmlformats.org/officeDocument/2006/relationships/control" Target="activeX/activeX103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66" Type="http://schemas.openxmlformats.org/officeDocument/2006/relationships/control" Target="activeX/activeX62.xml"/><Relationship Id="rId74" Type="http://schemas.openxmlformats.org/officeDocument/2006/relationships/control" Target="activeX/activeX70.xml"/><Relationship Id="rId79" Type="http://schemas.openxmlformats.org/officeDocument/2006/relationships/control" Target="activeX/activeX75.xml"/><Relationship Id="rId87" Type="http://schemas.openxmlformats.org/officeDocument/2006/relationships/control" Target="activeX/activeX83.xml"/><Relationship Id="rId102" Type="http://schemas.openxmlformats.org/officeDocument/2006/relationships/control" Target="activeX/activeX98.xml"/><Relationship Id="rId110" Type="http://schemas.openxmlformats.org/officeDocument/2006/relationships/fontTable" Target="fontTable.xml"/><Relationship Id="rId5" Type="http://schemas.openxmlformats.org/officeDocument/2006/relationships/control" Target="activeX/activeX1.xml"/><Relationship Id="rId61" Type="http://schemas.openxmlformats.org/officeDocument/2006/relationships/control" Target="activeX/activeX57.xml"/><Relationship Id="rId82" Type="http://schemas.openxmlformats.org/officeDocument/2006/relationships/control" Target="activeX/activeX78.xml"/><Relationship Id="rId90" Type="http://schemas.openxmlformats.org/officeDocument/2006/relationships/control" Target="activeX/activeX86.xml"/><Relationship Id="rId95" Type="http://schemas.openxmlformats.org/officeDocument/2006/relationships/control" Target="activeX/activeX91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64" Type="http://schemas.openxmlformats.org/officeDocument/2006/relationships/control" Target="activeX/activeX60.xml"/><Relationship Id="rId69" Type="http://schemas.openxmlformats.org/officeDocument/2006/relationships/control" Target="activeX/activeX65.xml"/><Relationship Id="rId77" Type="http://schemas.openxmlformats.org/officeDocument/2006/relationships/control" Target="activeX/activeX73.xml"/><Relationship Id="rId100" Type="http://schemas.openxmlformats.org/officeDocument/2006/relationships/control" Target="activeX/activeX96.xml"/><Relationship Id="rId105" Type="http://schemas.openxmlformats.org/officeDocument/2006/relationships/control" Target="activeX/activeX101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80" Type="http://schemas.openxmlformats.org/officeDocument/2006/relationships/control" Target="activeX/activeX76.xml"/><Relationship Id="rId85" Type="http://schemas.openxmlformats.org/officeDocument/2006/relationships/control" Target="activeX/activeX81.xml"/><Relationship Id="rId93" Type="http://schemas.openxmlformats.org/officeDocument/2006/relationships/control" Target="activeX/activeX89.xml"/><Relationship Id="rId98" Type="http://schemas.openxmlformats.org/officeDocument/2006/relationships/control" Target="activeX/activeX94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Relationship Id="rId67" Type="http://schemas.openxmlformats.org/officeDocument/2006/relationships/control" Target="activeX/activeX63.xml"/><Relationship Id="rId103" Type="http://schemas.openxmlformats.org/officeDocument/2006/relationships/control" Target="activeX/activeX99.xml"/><Relationship Id="rId108" Type="http://schemas.openxmlformats.org/officeDocument/2006/relationships/control" Target="activeX/activeX104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8.xml"/><Relationship Id="rId70" Type="http://schemas.openxmlformats.org/officeDocument/2006/relationships/control" Target="activeX/activeX66.xml"/><Relationship Id="rId75" Type="http://schemas.openxmlformats.org/officeDocument/2006/relationships/control" Target="activeX/activeX71.xml"/><Relationship Id="rId83" Type="http://schemas.openxmlformats.org/officeDocument/2006/relationships/control" Target="activeX/activeX79.xml"/><Relationship Id="rId88" Type="http://schemas.openxmlformats.org/officeDocument/2006/relationships/control" Target="activeX/activeX84.xml"/><Relationship Id="rId91" Type="http://schemas.openxmlformats.org/officeDocument/2006/relationships/control" Target="activeX/activeX87.xml"/><Relationship Id="rId96" Type="http://schemas.openxmlformats.org/officeDocument/2006/relationships/control" Target="activeX/activeX92.xm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106" Type="http://schemas.openxmlformats.org/officeDocument/2006/relationships/control" Target="activeX/activeX102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73" Type="http://schemas.openxmlformats.org/officeDocument/2006/relationships/control" Target="activeX/activeX69.xml"/><Relationship Id="rId78" Type="http://schemas.openxmlformats.org/officeDocument/2006/relationships/control" Target="activeX/activeX74.xml"/><Relationship Id="rId81" Type="http://schemas.openxmlformats.org/officeDocument/2006/relationships/control" Target="activeX/activeX77.xml"/><Relationship Id="rId86" Type="http://schemas.openxmlformats.org/officeDocument/2006/relationships/control" Target="activeX/activeX82.xml"/><Relationship Id="rId94" Type="http://schemas.openxmlformats.org/officeDocument/2006/relationships/control" Target="activeX/activeX90.xml"/><Relationship Id="rId99" Type="http://schemas.openxmlformats.org/officeDocument/2006/relationships/control" Target="activeX/activeX95.xml"/><Relationship Id="rId101" Type="http://schemas.openxmlformats.org/officeDocument/2006/relationships/control" Target="activeX/activeX97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5.xml"/><Relationship Id="rId109" Type="http://schemas.openxmlformats.org/officeDocument/2006/relationships/control" Target="activeX/activeX105.xml"/><Relationship Id="rId34" Type="http://schemas.openxmlformats.org/officeDocument/2006/relationships/control" Target="activeX/activeX30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76" Type="http://schemas.openxmlformats.org/officeDocument/2006/relationships/control" Target="activeX/activeX72.xml"/><Relationship Id="rId97" Type="http://schemas.openxmlformats.org/officeDocument/2006/relationships/control" Target="activeX/activeX93.xml"/><Relationship Id="rId104" Type="http://schemas.openxmlformats.org/officeDocument/2006/relationships/control" Target="activeX/activeX100.xml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Relationship Id="rId92" Type="http://schemas.openxmlformats.org/officeDocument/2006/relationships/control" Target="activeX/activeX8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2010-03-01T13:51:00Z</dcterms:created>
  <dcterms:modified xsi:type="dcterms:W3CDTF">2010-03-01T14:03:00Z</dcterms:modified>
</cp:coreProperties>
</file>