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7A572" w14:textId="77777777" w:rsidR="00B40C90" w:rsidRPr="000E4EA9" w:rsidRDefault="00B40C90" w:rsidP="00B40C90">
      <w:pPr>
        <w:spacing w:before="120" w:after="120"/>
        <w:ind w:left="144" w:right="144"/>
        <w:rPr>
          <w:rFonts w:ascii="Arial" w:hAnsi="Arial" w:cs="Arial"/>
          <w:sz w:val="20"/>
          <w:szCs w:val="20"/>
        </w:rPr>
      </w:pPr>
      <w:r w:rsidRPr="000E4EA9">
        <w:rPr>
          <w:rFonts w:ascii="Arial" w:hAnsi="Arial" w:cs="Arial"/>
          <w:b/>
          <w:sz w:val="20"/>
          <w:szCs w:val="20"/>
        </w:rPr>
        <w:t>1</w:t>
      </w:r>
      <w:r w:rsidRPr="000E4EA9">
        <w:rPr>
          <w:rFonts w:ascii="Arial" w:hAnsi="Arial" w:cs="Arial"/>
          <w:sz w:val="20"/>
          <w:szCs w:val="20"/>
        </w:rPr>
        <w:t xml:space="preserve">. High levels of cockpit noise in an aircraft can damage the hearing of pilots who are exposed to this hazard for many hours. A Boeing 727 co-pilot collected 61 noise observations using a handheld sound meter. Noise level is defined as “Low” (under 88 decibels), “Medium” (88 to 91 decibels), or “High” (92 decibels or more). There are three flight phases (Climb, Cruise, </w:t>
      </w:r>
      <w:proofErr w:type="gramStart"/>
      <w:r w:rsidRPr="000E4EA9">
        <w:rPr>
          <w:rFonts w:ascii="Arial" w:hAnsi="Arial" w:cs="Arial"/>
          <w:sz w:val="20"/>
          <w:szCs w:val="20"/>
        </w:rPr>
        <w:t>Descent</w:t>
      </w:r>
      <w:proofErr w:type="gramEnd"/>
      <w:r w:rsidRPr="000E4EA9">
        <w:rPr>
          <w:rFonts w:ascii="Arial" w:hAnsi="Arial" w:cs="Arial"/>
          <w:sz w:val="20"/>
          <w:szCs w:val="20"/>
        </w:rPr>
        <w:t>). Research question: At α = .05, is the cockpit noise level independent of flight phase?</w:t>
      </w:r>
    </w:p>
    <w:p w14:paraId="49D2E80C" w14:textId="77777777" w:rsidR="00B40C90" w:rsidRPr="000E4EA9" w:rsidRDefault="00B40C90" w:rsidP="00B40C90">
      <w:pPr>
        <w:spacing w:before="120" w:after="120"/>
        <w:ind w:left="144" w:right="144"/>
        <w:rPr>
          <w:rFonts w:ascii="Arial" w:hAnsi="Arial" w:cs="Arial"/>
          <w:b/>
          <w:sz w:val="20"/>
          <w:szCs w:val="20"/>
        </w:rPr>
      </w:pPr>
      <w:r w:rsidRPr="000E4EA9">
        <w:rPr>
          <w:rFonts w:ascii="Arial" w:hAnsi="Arial" w:cs="Arial"/>
          <w:b/>
          <w:sz w:val="20"/>
          <w:szCs w:val="20"/>
        </w:rPr>
        <w:t>Be sure to test whether the Chi-Square table has too many cells with expected value less than 5.  If it does, then combine the Cruise and Descent columns and try again.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891"/>
        <w:gridCol w:w="1496"/>
        <w:gridCol w:w="1076"/>
        <w:gridCol w:w="1076"/>
      </w:tblGrid>
      <w:tr w:rsidR="00B40C90" w:rsidRPr="000E4EA9" w14:paraId="68FE7B73" w14:textId="77777777" w:rsidTr="00B40C90">
        <w:trPr>
          <w:trHeight w:val="270"/>
        </w:trPr>
        <w:tc>
          <w:tcPr>
            <w:tcW w:w="2696" w:type="dxa"/>
            <w:gridSpan w:val="2"/>
            <w:noWrap/>
            <w:hideMark/>
          </w:tcPr>
          <w:p w14:paraId="3B1CE1D6" w14:textId="77777777" w:rsidR="00B40C90" w:rsidRPr="000E4EA9" w:rsidRDefault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Observed frequencies</w:t>
            </w:r>
          </w:p>
        </w:tc>
        <w:tc>
          <w:tcPr>
            <w:tcW w:w="1496" w:type="dxa"/>
            <w:noWrap/>
            <w:hideMark/>
          </w:tcPr>
          <w:p w14:paraId="5E10A189" w14:textId="77777777" w:rsidR="00B40C90" w:rsidRPr="000E4EA9" w:rsidRDefault="00B40C9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noWrap/>
            <w:hideMark/>
          </w:tcPr>
          <w:p w14:paraId="3F11F9F5" w14:textId="77777777" w:rsidR="00B40C90" w:rsidRPr="000E4EA9" w:rsidRDefault="00B40C9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noWrap/>
            <w:hideMark/>
          </w:tcPr>
          <w:p w14:paraId="2FAF0924" w14:textId="77777777" w:rsidR="00B40C90" w:rsidRPr="000E4EA9" w:rsidRDefault="00B40C90">
            <w:pPr>
              <w:rPr>
                <w:sz w:val="20"/>
                <w:szCs w:val="20"/>
              </w:rPr>
            </w:pPr>
          </w:p>
        </w:tc>
      </w:tr>
      <w:tr w:rsidR="00B40C90" w:rsidRPr="000E4EA9" w14:paraId="343D2507" w14:textId="77777777" w:rsidTr="00B40C90">
        <w:trPr>
          <w:trHeight w:val="270"/>
        </w:trPr>
        <w:tc>
          <w:tcPr>
            <w:tcW w:w="1805" w:type="dxa"/>
            <w:noWrap/>
            <w:hideMark/>
          </w:tcPr>
          <w:p w14:paraId="05D2CEA9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Noise Level</w:t>
            </w:r>
          </w:p>
        </w:tc>
        <w:tc>
          <w:tcPr>
            <w:tcW w:w="891" w:type="dxa"/>
            <w:noWrap/>
            <w:hideMark/>
          </w:tcPr>
          <w:p w14:paraId="034EE1BF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Climb</w:t>
            </w:r>
          </w:p>
        </w:tc>
        <w:tc>
          <w:tcPr>
            <w:tcW w:w="1496" w:type="dxa"/>
            <w:noWrap/>
            <w:hideMark/>
          </w:tcPr>
          <w:p w14:paraId="04370048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Cruise</w:t>
            </w:r>
          </w:p>
        </w:tc>
        <w:tc>
          <w:tcPr>
            <w:tcW w:w="1076" w:type="dxa"/>
            <w:noWrap/>
            <w:hideMark/>
          </w:tcPr>
          <w:p w14:paraId="4D127DDC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Descent</w:t>
            </w:r>
          </w:p>
        </w:tc>
        <w:tc>
          <w:tcPr>
            <w:tcW w:w="1076" w:type="dxa"/>
            <w:noWrap/>
            <w:hideMark/>
          </w:tcPr>
          <w:p w14:paraId="59733821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Row Total</w:t>
            </w:r>
          </w:p>
        </w:tc>
      </w:tr>
      <w:tr w:rsidR="00B40C90" w:rsidRPr="000E4EA9" w14:paraId="3157CA6C" w14:textId="77777777" w:rsidTr="00B40C90">
        <w:trPr>
          <w:trHeight w:val="255"/>
        </w:trPr>
        <w:tc>
          <w:tcPr>
            <w:tcW w:w="1805" w:type="dxa"/>
            <w:noWrap/>
            <w:hideMark/>
          </w:tcPr>
          <w:p w14:paraId="28C24B9F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891" w:type="dxa"/>
            <w:noWrap/>
            <w:hideMark/>
          </w:tcPr>
          <w:p w14:paraId="40DBD094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noWrap/>
            <w:hideMark/>
          </w:tcPr>
          <w:p w14:paraId="4BDD91FC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0E3650AF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  <w:hideMark/>
          </w:tcPr>
          <w:p w14:paraId="54C1FEC6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B40C90" w:rsidRPr="000E4EA9" w14:paraId="04D97BB5" w14:textId="77777777" w:rsidTr="00B40C90">
        <w:trPr>
          <w:trHeight w:val="255"/>
        </w:trPr>
        <w:tc>
          <w:tcPr>
            <w:tcW w:w="1805" w:type="dxa"/>
            <w:noWrap/>
            <w:hideMark/>
          </w:tcPr>
          <w:p w14:paraId="0FFD5892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891" w:type="dxa"/>
            <w:noWrap/>
            <w:hideMark/>
          </w:tcPr>
          <w:p w14:paraId="053B8986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  <w:noWrap/>
            <w:hideMark/>
          </w:tcPr>
          <w:p w14:paraId="58177ACC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17CEC8E4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noWrap/>
            <w:hideMark/>
          </w:tcPr>
          <w:p w14:paraId="72FD9211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B40C90" w:rsidRPr="000E4EA9" w14:paraId="7B3193A3" w14:textId="77777777" w:rsidTr="00B40C90">
        <w:trPr>
          <w:trHeight w:val="255"/>
        </w:trPr>
        <w:tc>
          <w:tcPr>
            <w:tcW w:w="1805" w:type="dxa"/>
            <w:noWrap/>
            <w:hideMark/>
          </w:tcPr>
          <w:p w14:paraId="266B8707" w14:textId="77777777" w:rsidR="00B40C90" w:rsidRPr="000E4EA9" w:rsidRDefault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891" w:type="dxa"/>
            <w:noWrap/>
            <w:hideMark/>
          </w:tcPr>
          <w:p w14:paraId="0627DAD5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noWrap/>
            <w:hideMark/>
          </w:tcPr>
          <w:p w14:paraId="4202D533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noWrap/>
            <w:hideMark/>
          </w:tcPr>
          <w:p w14:paraId="01B9EBBC" w14:textId="77777777" w:rsidR="00B40C90" w:rsidRPr="000E4EA9" w:rsidRDefault="00B40C90" w:rsidP="00B40C90">
            <w:pPr>
              <w:rPr>
                <w:sz w:val="20"/>
                <w:szCs w:val="20"/>
              </w:rPr>
            </w:pPr>
            <w:r w:rsidRPr="000E4EA9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  <w:noWrap/>
            <w:hideMark/>
          </w:tcPr>
          <w:p w14:paraId="5495357B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40C90" w:rsidRPr="000E4EA9" w14:paraId="6897E775" w14:textId="77777777" w:rsidTr="00B40C90">
        <w:trPr>
          <w:trHeight w:val="270"/>
        </w:trPr>
        <w:tc>
          <w:tcPr>
            <w:tcW w:w="1805" w:type="dxa"/>
            <w:noWrap/>
            <w:hideMark/>
          </w:tcPr>
          <w:p w14:paraId="37F9D0E5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Col Total</w:t>
            </w:r>
          </w:p>
        </w:tc>
        <w:tc>
          <w:tcPr>
            <w:tcW w:w="891" w:type="dxa"/>
            <w:noWrap/>
            <w:hideMark/>
          </w:tcPr>
          <w:p w14:paraId="05CFC4A0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96" w:type="dxa"/>
            <w:noWrap/>
            <w:hideMark/>
          </w:tcPr>
          <w:p w14:paraId="0EB6E307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6" w:type="dxa"/>
            <w:noWrap/>
            <w:hideMark/>
          </w:tcPr>
          <w:p w14:paraId="1930402A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76" w:type="dxa"/>
            <w:noWrap/>
            <w:hideMark/>
          </w:tcPr>
          <w:p w14:paraId="6B1A3CB5" w14:textId="77777777" w:rsidR="00B40C90" w:rsidRPr="000E4EA9" w:rsidRDefault="00B40C90" w:rsidP="00B40C90">
            <w:pPr>
              <w:rPr>
                <w:b/>
                <w:bCs/>
                <w:sz w:val="20"/>
                <w:szCs w:val="20"/>
              </w:rPr>
            </w:pPr>
            <w:r w:rsidRPr="000E4EA9">
              <w:rPr>
                <w:b/>
                <w:bCs/>
                <w:sz w:val="20"/>
                <w:szCs w:val="20"/>
              </w:rPr>
              <w:t>61</w:t>
            </w:r>
          </w:p>
        </w:tc>
      </w:tr>
    </w:tbl>
    <w:p w14:paraId="30CEDD1C" w14:textId="6093FA24" w:rsidR="00B40C90" w:rsidRDefault="00B40C90">
      <w:pPr>
        <w:rPr>
          <w:rFonts w:ascii="Arial" w:hAnsi="Arial" w:cs="Arial"/>
          <w:bCs/>
          <w:sz w:val="20"/>
          <w:szCs w:val="20"/>
        </w:rPr>
      </w:pPr>
      <w:r w:rsidRPr="000E4EA9">
        <w:rPr>
          <w:sz w:val="20"/>
          <w:szCs w:val="20"/>
        </w:rPr>
        <w:t xml:space="preserve">Step 1:  </w:t>
      </w:r>
      <w:r w:rsidRPr="000E4EA9">
        <w:rPr>
          <w:rFonts w:ascii="Arial" w:hAnsi="Arial" w:cs="Arial"/>
          <w:bCs/>
          <w:sz w:val="20"/>
          <w:szCs w:val="20"/>
        </w:rPr>
        <w:t>State the null and alternate hypotheses</w:t>
      </w:r>
    </w:p>
    <w:p w14:paraId="27F01664" w14:textId="77777777" w:rsidR="00263EF4" w:rsidRPr="000E4EA9" w:rsidRDefault="00263EF4">
      <w:pPr>
        <w:rPr>
          <w:sz w:val="20"/>
          <w:szCs w:val="20"/>
        </w:rPr>
      </w:pPr>
    </w:p>
    <w:p w14:paraId="67787BCD" w14:textId="4097AF9A" w:rsidR="00B40C90" w:rsidRPr="000E4EA9" w:rsidRDefault="00B40C90" w:rsidP="00B40C90">
      <w:pPr>
        <w:rPr>
          <w:rFonts w:ascii="Arial" w:hAnsi="Arial" w:cs="Arial"/>
          <w:bCs/>
          <w:sz w:val="20"/>
          <w:szCs w:val="20"/>
        </w:rPr>
      </w:pPr>
      <w:r w:rsidRPr="000E4EA9">
        <w:rPr>
          <w:sz w:val="20"/>
          <w:szCs w:val="20"/>
        </w:rPr>
        <w:t xml:space="preserve">Step 2:   </w:t>
      </w:r>
      <w:r w:rsidRPr="000E4EA9">
        <w:rPr>
          <w:rFonts w:ascii="Arial" w:hAnsi="Arial" w:cs="Arial"/>
          <w:bCs/>
          <w:sz w:val="20"/>
          <w:szCs w:val="20"/>
        </w:rPr>
        <w:t>Select a level of significance</w:t>
      </w:r>
      <w:r w:rsidRPr="000E4EA9">
        <w:rPr>
          <w:rFonts w:ascii="Arial" w:hAnsi="Arial" w:cs="Arial"/>
          <w:bCs/>
          <w:sz w:val="20"/>
          <w:szCs w:val="20"/>
        </w:rPr>
        <w:tab/>
      </w:r>
    </w:p>
    <w:tbl>
      <w:tblPr>
        <w:tblW w:w="2712" w:type="dxa"/>
        <w:tblInd w:w="108" w:type="dxa"/>
        <w:tblLook w:val="04A0" w:firstRow="1" w:lastRow="0" w:firstColumn="1" w:lastColumn="0" w:noHBand="0" w:noVBand="1"/>
      </w:tblPr>
      <w:tblGrid>
        <w:gridCol w:w="1236"/>
        <w:gridCol w:w="1476"/>
      </w:tblGrid>
      <w:tr w:rsidR="00B40C90" w:rsidRPr="000E4EA9" w14:paraId="2D23B290" w14:textId="77777777" w:rsidTr="00B40C90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CD0" w14:textId="77777777" w:rsidR="00B40C90" w:rsidRPr="000E4EA9" w:rsidRDefault="00B40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EA9">
              <w:rPr>
                <w:rFonts w:ascii="Arial" w:hAnsi="Arial" w:cs="Arial"/>
                <w:sz w:val="20"/>
                <w:szCs w:val="20"/>
              </w:rPr>
              <w:t xml:space="preserve">α =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C45" w14:textId="77777777" w:rsidR="00B40C90" w:rsidRPr="000E4EA9" w:rsidRDefault="00B40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EA9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</w:tbl>
    <w:p w14:paraId="4D85FC94" w14:textId="77777777" w:rsidR="00B40C90" w:rsidRPr="000E4EA9" w:rsidRDefault="00B40C90">
      <w:pPr>
        <w:rPr>
          <w:sz w:val="20"/>
          <w:szCs w:val="20"/>
        </w:rPr>
      </w:pPr>
    </w:p>
    <w:p w14:paraId="2837916F" w14:textId="77777777" w:rsidR="00B40C90" w:rsidRPr="000E4EA9" w:rsidRDefault="00B40C90" w:rsidP="00B40C90">
      <w:pPr>
        <w:rPr>
          <w:rFonts w:ascii="Arial" w:hAnsi="Arial" w:cs="Arial"/>
          <w:bCs/>
          <w:sz w:val="20"/>
          <w:szCs w:val="20"/>
        </w:rPr>
      </w:pPr>
      <w:r w:rsidRPr="000E4EA9">
        <w:rPr>
          <w:sz w:val="20"/>
          <w:szCs w:val="20"/>
        </w:rPr>
        <w:t xml:space="preserve">Step 3:  </w:t>
      </w:r>
      <w:r w:rsidRPr="000E4EA9">
        <w:rPr>
          <w:rFonts w:ascii="Arial" w:hAnsi="Arial" w:cs="Arial"/>
          <w:bCs/>
          <w:sz w:val="20"/>
          <w:szCs w:val="20"/>
        </w:rPr>
        <w:t>Identify the test statistic and state its formula</w:t>
      </w:r>
    </w:p>
    <w:p w14:paraId="76D316BA" w14:textId="77777777" w:rsidR="00B40C90" w:rsidRPr="000E4EA9" w:rsidRDefault="00810BF5" w:rsidP="00B40C9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25pt;margin-top:5.5pt;width:88pt;height:36pt;z-index:251658240" filled="t" stroked="t">
            <v:imagedata r:id="rId6" o:title=""/>
          </v:shape>
          <o:OLEObject Type="Embed" ProgID="Equation.3" ShapeID="_x0000_s1026" DrawAspect="Content" ObjectID="_1325442874" r:id="rId7"/>
        </w:pict>
      </w:r>
    </w:p>
    <w:p w14:paraId="1B1BE1BF" w14:textId="77777777" w:rsidR="00B40C90" w:rsidRPr="000E4EA9" w:rsidRDefault="00B40C90" w:rsidP="00B40C90">
      <w:pPr>
        <w:rPr>
          <w:sz w:val="20"/>
          <w:szCs w:val="20"/>
        </w:rPr>
      </w:pPr>
    </w:p>
    <w:p w14:paraId="17B01FC0" w14:textId="77777777" w:rsidR="00B40C90" w:rsidRPr="000E4EA9" w:rsidRDefault="00B40C90" w:rsidP="00B40C90">
      <w:pPr>
        <w:rPr>
          <w:sz w:val="20"/>
          <w:szCs w:val="20"/>
        </w:rPr>
      </w:pPr>
    </w:p>
    <w:p w14:paraId="5ABEC78A" w14:textId="77777777" w:rsidR="00B40C90" w:rsidRPr="000E4EA9" w:rsidRDefault="00B40C90">
      <w:pPr>
        <w:rPr>
          <w:sz w:val="20"/>
          <w:szCs w:val="20"/>
        </w:rPr>
      </w:pPr>
    </w:p>
    <w:p w14:paraId="63F9DB36" w14:textId="77777777" w:rsidR="000E4EA9" w:rsidRPr="000E4EA9" w:rsidRDefault="00B40C90" w:rsidP="000E4EA9">
      <w:pPr>
        <w:rPr>
          <w:rFonts w:ascii="Arial" w:hAnsi="Arial" w:cs="Arial"/>
          <w:bCs/>
          <w:sz w:val="20"/>
          <w:szCs w:val="20"/>
        </w:rPr>
      </w:pPr>
      <w:r w:rsidRPr="000E4EA9">
        <w:rPr>
          <w:sz w:val="20"/>
          <w:szCs w:val="20"/>
        </w:rPr>
        <w:t xml:space="preserve">Step 4: </w:t>
      </w:r>
      <w:r w:rsidR="000E4EA9" w:rsidRPr="000E4EA9">
        <w:rPr>
          <w:rFonts w:ascii="Arial" w:hAnsi="Arial" w:cs="Arial"/>
          <w:bCs/>
          <w:sz w:val="20"/>
          <w:szCs w:val="20"/>
        </w:rPr>
        <w:t>Formulate a decision rule</w:t>
      </w:r>
    </w:p>
    <w:p w14:paraId="035B9DE8" w14:textId="77777777" w:rsidR="00B40C90" w:rsidRPr="000E4EA9" w:rsidRDefault="00B40C90">
      <w:pPr>
        <w:rPr>
          <w:sz w:val="20"/>
          <w:szCs w:val="20"/>
        </w:rPr>
      </w:pPr>
    </w:p>
    <w:p w14:paraId="70E658C4" w14:textId="3AC75272" w:rsidR="00B40C90" w:rsidRDefault="00B40C90">
      <w:pPr>
        <w:rPr>
          <w:sz w:val="20"/>
          <w:szCs w:val="20"/>
        </w:rPr>
      </w:pPr>
      <w:r w:rsidRPr="000E4EA9">
        <w:rPr>
          <w:sz w:val="20"/>
          <w:szCs w:val="20"/>
        </w:rPr>
        <w:t>Step 5:</w:t>
      </w:r>
      <w:r w:rsidR="000E4EA9" w:rsidRPr="000E4EA9">
        <w:rPr>
          <w:sz w:val="20"/>
          <w:szCs w:val="20"/>
        </w:rPr>
        <w:t xml:space="preserve"> </w:t>
      </w:r>
      <w:r w:rsidR="000E4EA9" w:rsidRPr="000E4EA9">
        <w:rPr>
          <w:rFonts w:ascii="Arial" w:hAnsi="Arial" w:cs="Arial"/>
          <w:bCs/>
          <w:sz w:val="20"/>
          <w:szCs w:val="20"/>
        </w:rPr>
        <w:t>Make a decision</w:t>
      </w:r>
    </w:p>
    <w:p w14:paraId="4FE845B9" w14:textId="5AEE4E13" w:rsidR="000E4EA9" w:rsidRDefault="00810BF5">
      <w:pP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</w:t>
      </w:r>
      <w:bookmarkStart w:id="0" w:name="_GoBack"/>
      <w:bookmarkEnd w:id="0"/>
    </w:p>
    <w:p w14:paraId="5C9CE8CE" w14:textId="5AF9C354" w:rsidR="00263EF4" w:rsidRDefault="000E4EA9" w:rsidP="000E4EA9">
      <w:pPr>
        <w:spacing w:before="120" w:after="120"/>
        <w:ind w:left="144" w:right="144"/>
        <w:rPr>
          <w:sz w:val="20"/>
          <w:szCs w:val="20"/>
        </w:rPr>
      </w:pPr>
      <w:r w:rsidRPr="000E4EA9">
        <w:rPr>
          <w:b/>
          <w:sz w:val="20"/>
          <w:szCs w:val="20"/>
        </w:rPr>
        <w:t>2</w:t>
      </w:r>
      <w:r w:rsidRPr="000E4EA9">
        <w:rPr>
          <w:sz w:val="20"/>
          <w:szCs w:val="20"/>
        </w:rPr>
        <w:t xml:space="preserve">.  </w:t>
      </w:r>
      <w:r w:rsidRPr="000E4EA9">
        <w:rPr>
          <w:rFonts w:ascii="Arial" w:hAnsi="Arial" w:cs="Arial"/>
          <w:sz w:val="20"/>
          <w:szCs w:val="20"/>
        </w:rPr>
        <w:t>In 1995, with the introduction of the color blue in M&amp;M candy bags, a researcher purchased several bags and counted the number of each color present. The results are given in the table below.  Perform a goodness of fit test to determine, at the 0.1 significance level, what can be said about whether the colors were equally distributed in the overall population of M&amp;M candies.</w:t>
      </w:r>
      <w:r w:rsidR="00263EF4">
        <w:fldChar w:fldCharType="begin"/>
      </w:r>
      <w:r w:rsidR="00263EF4">
        <w:instrText xml:space="preserve"> LINK Excel.Sheet.8 "C:\\Documents and Settings\\Wandra\\My Documents\\RES342_S6.xls" "Exercise S6-4!R10C2:R17C4" \a \f 4 \h </w:instrText>
      </w:r>
      <w:r w:rsidR="00263EF4">
        <w:fldChar w:fldCharType="separate"/>
      </w:r>
    </w:p>
    <w:tbl>
      <w:tblPr>
        <w:tblW w:w="2897" w:type="dxa"/>
        <w:tblInd w:w="108" w:type="dxa"/>
        <w:tblLook w:val="04A0" w:firstRow="1" w:lastRow="0" w:firstColumn="1" w:lastColumn="0" w:noHBand="0" w:noVBand="1"/>
      </w:tblPr>
      <w:tblGrid>
        <w:gridCol w:w="1614"/>
        <w:gridCol w:w="942"/>
        <w:gridCol w:w="341"/>
      </w:tblGrid>
      <w:tr w:rsidR="00263EF4" w:rsidRPr="00263EF4" w14:paraId="6FEB9ED6" w14:textId="77777777" w:rsidTr="00263EF4">
        <w:trPr>
          <w:trHeight w:val="270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9C9" w14:textId="77777777" w:rsidR="00263EF4" w:rsidRPr="00263EF4" w:rsidRDefault="00263EF4" w:rsidP="00263EF4">
            <w:pPr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Observed frequencies</w:t>
            </w:r>
          </w:p>
        </w:tc>
      </w:tr>
      <w:tr w:rsidR="00263EF4" w:rsidRPr="00263EF4" w14:paraId="6A91888A" w14:textId="77777777" w:rsidTr="00263EF4">
        <w:trPr>
          <w:trHeight w:val="270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823" w14:textId="77777777" w:rsidR="00263EF4" w:rsidRPr="00263EF4" w:rsidRDefault="00263EF4" w:rsidP="00263EF4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5CCBDF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CF4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F4" w:rsidRPr="00263EF4" w14:paraId="78C20B5A" w14:textId="77777777" w:rsidTr="00263EF4">
        <w:trPr>
          <w:trHeight w:val="255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668" w14:textId="77777777" w:rsidR="00263EF4" w:rsidRPr="00263EF4" w:rsidRDefault="00263EF4" w:rsidP="00263EF4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892CA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E5E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F4" w:rsidRPr="00263EF4" w14:paraId="0382E62F" w14:textId="77777777" w:rsidTr="00263EF4">
        <w:trPr>
          <w:trHeight w:val="255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62B" w14:textId="77777777" w:rsidR="00263EF4" w:rsidRPr="00263EF4" w:rsidRDefault="00263EF4" w:rsidP="00263EF4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Blue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E5DCF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E09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F4" w:rsidRPr="00263EF4" w14:paraId="7D977DED" w14:textId="77777777" w:rsidTr="00263EF4">
        <w:trPr>
          <w:trHeight w:val="255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6BD" w14:textId="77777777" w:rsidR="00263EF4" w:rsidRPr="00263EF4" w:rsidRDefault="00263EF4" w:rsidP="00263EF4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D7D4E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1B7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F4" w:rsidRPr="00263EF4" w14:paraId="71D93F67" w14:textId="77777777" w:rsidTr="00263EF4">
        <w:trPr>
          <w:trHeight w:val="255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2FF" w14:textId="77777777" w:rsidR="00263EF4" w:rsidRPr="00263EF4" w:rsidRDefault="00263EF4" w:rsidP="00263EF4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Yellow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4EAE3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06E4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EF4" w:rsidRPr="00263EF4" w14:paraId="0FB87E30" w14:textId="77777777" w:rsidTr="00263EF4">
        <w:trPr>
          <w:trHeight w:val="270"/>
        </w:trPr>
        <w:tc>
          <w:tcPr>
            <w:tcW w:w="16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45CF" w14:textId="77777777" w:rsidR="00263EF4" w:rsidRPr="00263EF4" w:rsidRDefault="00263EF4" w:rsidP="00263EF4">
            <w:pPr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CE58C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EF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369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3EF4" w:rsidRPr="00263EF4" w14:paraId="57C93256" w14:textId="77777777" w:rsidTr="00263EF4">
        <w:trPr>
          <w:trHeight w:val="27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F27" w14:textId="77777777" w:rsidR="00263EF4" w:rsidRPr="00263EF4" w:rsidRDefault="00263EF4" w:rsidP="00263E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 =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8FB" w14:textId="77777777" w:rsidR="00263EF4" w:rsidRPr="00263EF4" w:rsidRDefault="00263EF4" w:rsidP="00263EF4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4">
              <w:rPr>
                <w:rFonts w:ascii="Arial" w:hAnsi="Arial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FC4" w14:textId="77777777" w:rsidR="00263EF4" w:rsidRPr="00263EF4" w:rsidRDefault="00263EF4" w:rsidP="00263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4AAAC" w14:textId="77F05BAC" w:rsidR="000E4EA9" w:rsidRPr="000E4EA9" w:rsidRDefault="00263EF4" w:rsidP="00263EF4">
      <w:pPr>
        <w:spacing w:before="120" w:after="120"/>
        <w:ind w:left="144" w:right="14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0E4EA9" w:rsidRPr="000E4EA9">
        <w:rPr>
          <w:sz w:val="20"/>
          <w:szCs w:val="20"/>
        </w:rPr>
        <w:t xml:space="preserve">Step 1: </w:t>
      </w:r>
      <w:r w:rsidR="000E4EA9" w:rsidRPr="000E4EA9">
        <w:rPr>
          <w:rFonts w:ascii="Arial" w:hAnsi="Arial" w:cs="Arial"/>
          <w:bCs/>
          <w:sz w:val="20"/>
          <w:szCs w:val="20"/>
        </w:rPr>
        <w:t>State the null and alternate hypotheses</w:t>
      </w:r>
    </w:p>
    <w:p w14:paraId="203447BA" w14:textId="77777777" w:rsidR="000E4EA9" w:rsidRPr="000E4EA9" w:rsidRDefault="000E4EA9">
      <w:pPr>
        <w:rPr>
          <w:sz w:val="20"/>
          <w:szCs w:val="20"/>
        </w:rPr>
      </w:pPr>
    </w:p>
    <w:p w14:paraId="5AD52FDB" w14:textId="0BB2AC98" w:rsidR="000E4EA9" w:rsidRPr="000E4EA9" w:rsidRDefault="000E4EA9">
      <w:pPr>
        <w:rPr>
          <w:sz w:val="20"/>
          <w:szCs w:val="20"/>
        </w:rPr>
      </w:pPr>
      <w:r w:rsidRPr="000E4EA9">
        <w:rPr>
          <w:sz w:val="20"/>
          <w:szCs w:val="20"/>
        </w:rPr>
        <w:t xml:space="preserve">Step 2: </w:t>
      </w:r>
      <w:r w:rsidRPr="000E4EA9">
        <w:rPr>
          <w:rFonts w:ascii="Arial" w:hAnsi="Arial" w:cs="Arial"/>
          <w:bCs/>
          <w:sz w:val="20"/>
          <w:szCs w:val="20"/>
        </w:rPr>
        <w:t>Select a level of significance</w:t>
      </w:r>
      <w:r w:rsidRPr="000E4EA9">
        <w:rPr>
          <w:sz w:val="20"/>
          <w:szCs w:val="20"/>
        </w:rPr>
        <w:t xml:space="preserve">    </w:t>
      </w:r>
      <w:r w:rsidRPr="000E4EA9">
        <w:rPr>
          <w:sz w:val="20"/>
          <w:szCs w:val="20"/>
        </w:rPr>
        <w:tab/>
      </w:r>
    </w:p>
    <w:tbl>
      <w:tblPr>
        <w:tblW w:w="1952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</w:tblGrid>
      <w:tr w:rsidR="000E4EA9" w:rsidRPr="000E4EA9" w14:paraId="27AB280F" w14:textId="77777777" w:rsidTr="000E4EA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73D" w14:textId="77777777" w:rsidR="000E4EA9" w:rsidRPr="000E4EA9" w:rsidRDefault="000E4E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EA9">
              <w:rPr>
                <w:rFonts w:ascii="Arial" w:hAnsi="Arial" w:cs="Arial"/>
                <w:sz w:val="20"/>
                <w:szCs w:val="20"/>
              </w:rPr>
              <w:t xml:space="preserve">α =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178" w14:textId="77777777" w:rsidR="000E4EA9" w:rsidRPr="000E4EA9" w:rsidRDefault="000E4E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EA9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</w:tbl>
    <w:p w14:paraId="6C2C9B84" w14:textId="77777777" w:rsidR="000E4EA9" w:rsidRPr="000E4EA9" w:rsidRDefault="000E4EA9">
      <w:pPr>
        <w:rPr>
          <w:sz w:val="20"/>
          <w:szCs w:val="20"/>
        </w:rPr>
      </w:pPr>
    </w:p>
    <w:p w14:paraId="06570F84" w14:textId="77777777" w:rsidR="000E4EA9" w:rsidRPr="000E4EA9" w:rsidRDefault="000E4EA9" w:rsidP="000E4EA9">
      <w:pPr>
        <w:rPr>
          <w:rFonts w:ascii="Arial" w:hAnsi="Arial" w:cs="Arial"/>
          <w:bCs/>
          <w:sz w:val="20"/>
          <w:szCs w:val="20"/>
        </w:rPr>
      </w:pPr>
      <w:r w:rsidRPr="000E4EA9">
        <w:rPr>
          <w:sz w:val="20"/>
          <w:szCs w:val="20"/>
        </w:rPr>
        <w:t xml:space="preserve">Step 3: </w:t>
      </w:r>
      <w:r w:rsidRPr="000E4EA9">
        <w:rPr>
          <w:rFonts w:ascii="Arial" w:hAnsi="Arial" w:cs="Arial"/>
          <w:bCs/>
          <w:sz w:val="20"/>
          <w:szCs w:val="20"/>
        </w:rPr>
        <w:t>Identify the test statistic and state its formula</w:t>
      </w:r>
    </w:p>
    <w:p w14:paraId="54FAF878" w14:textId="77777777" w:rsidR="000E4EA9" w:rsidRPr="000E4EA9" w:rsidRDefault="00810BF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75" style="position:absolute;margin-left:60pt;margin-top:5.2pt;width:88pt;height:36pt;z-index:251659264" filled="t" stroked="t">
            <v:imagedata r:id="rId8" o:title=""/>
          </v:shape>
          <o:OLEObject Type="Embed" ProgID="Equation.3" ShapeID="_x0000_s1027" DrawAspect="Content" ObjectID="_1325442875" r:id="rId9"/>
        </w:pict>
      </w:r>
    </w:p>
    <w:p w14:paraId="3B1AF24E" w14:textId="77777777" w:rsidR="000E4EA9" w:rsidRPr="000E4EA9" w:rsidRDefault="000E4EA9">
      <w:pPr>
        <w:rPr>
          <w:sz w:val="20"/>
          <w:szCs w:val="20"/>
        </w:rPr>
      </w:pPr>
    </w:p>
    <w:p w14:paraId="13CE6498" w14:textId="77777777" w:rsidR="000E4EA9" w:rsidRPr="000E4EA9" w:rsidRDefault="000E4EA9">
      <w:pPr>
        <w:rPr>
          <w:sz w:val="20"/>
          <w:szCs w:val="20"/>
        </w:rPr>
      </w:pPr>
    </w:p>
    <w:p w14:paraId="16388668" w14:textId="77777777" w:rsidR="00263EF4" w:rsidRDefault="00263EF4">
      <w:pPr>
        <w:rPr>
          <w:sz w:val="20"/>
          <w:szCs w:val="20"/>
        </w:rPr>
      </w:pPr>
    </w:p>
    <w:p w14:paraId="330E7E61" w14:textId="77777777" w:rsidR="000E4EA9" w:rsidRPr="000E4EA9" w:rsidRDefault="000E4EA9">
      <w:pPr>
        <w:rPr>
          <w:sz w:val="20"/>
          <w:szCs w:val="20"/>
        </w:rPr>
      </w:pPr>
      <w:r w:rsidRPr="000E4EA9">
        <w:rPr>
          <w:sz w:val="20"/>
          <w:szCs w:val="20"/>
        </w:rPr>
        <w:t xml:space="preserve">Step: 4 </w:t>
      </w:r>
      <w:r w:rsidRPr="000E4EA9">
        <w:rPr>
          <w:rFonts w:ascii="Arial" w:hAnsi="Arial" w:cs="Arial"/>
          <w:bCs/>
          <w:sz w:val="20"/>
          <w:szCs w:val="20"/>
        </w:rPr>
        <w:t>Formulate a decision rule</w:t>
      </w:r>
    </w:p>
    <w:p w14:paraId="4E13258E" w14:textId="77777777" w:rsidR="000E4EA9" w:rsidRPr="000E4EA9" w:rsidRDefault="000E4EA9">
      <w:pPr>
        <w:rPr>
          <w:sz w:val="20"/>
          <w:szCs w:val="20"/>
        </w:rPr>
      </w:pPr>
    </w:p>
    <w:p w14:paraId="4F949C04" w14:textId="77777777" w:rsidR="000E4EA9" w:rsidRPr="000E4EA9" w:rsidRDefault="000E4EA9" w:rsidP="000E4EA9">
      <w:pPr>
        <w:rPr>
          <w:rFonts w:ascii="Arial" w:hAnsi="Arial" w:cs="Arial"/>
          <w:bCs/>
          <w:sz w:val="20"/>
          <w:szCs w:val="20"/>
        </w:rPr>
      </w:pPr>
      <w:r w:rsidRPr="000E4EA9">
        <w:rPr>
          <w:sz w:val="20"/>
          <w:szCs w:val="20"/>
        </w:rPr>
        <w:t xml:space="preserve">Step 5:  </w:t>
      </w:r>
      <w:r w:rsidRPr="000E4EA9">
        <w:rPr>
          <w:rFonts w:ascii="Arial" w:hAnsi="Arial" w:cs="Arial"/>
          <w:bCs/>
          <w:sz w:val="20"/>
          <w:szCs w:val="20"/>
        </w:rPr>
        <w:t>Make a decision</w:t>
      </w:r>
    </w:p>
    <w:p w14:paraId="133220B8" w14:textId="77777777" w:rsidR="000E4EA9" w:rsidRPr="000E4EA9" w:rsidRDefault="000E4EA9">
      <w:pPr>
        <w:rPr>
          <w:sz w:val="20"/>
          <w:szCs w:val="20"/>
        </w:rPr>
      </w:pPr>
    </w:p>
    <w:sectPr w:rsidR="000E4EA9" w:rsidRPr="000E4EA9" w:rsidSect="00810BF5">
      <w:pgSz w:w="13395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2911"/>
    <w:multiLevelType w:val="hybridMultilevel"/>
    <w:tmpl w:val="C75ED304"/>
    <w:lvl w:ilvl="0" w:tplc="A5CAB19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90"/>
    <w:rsid w:val="000E4EA9"/>
    <w:rsid w:val="00263EF4"/>
    <w:rsid w:val="00810BF5"/>
    <w:rsid w:val="00B40C90"/>
    <w:rsid w:val="00C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BEB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2010-01-20T02:51:00Z</dcterms:created>
  <dcterms:modified xsi:type="dcterms:W3CDTF">2010-01-20T03:48:00Z</dcterms:modified>
</cp:coreProperties>
</file>