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93" w:rsidRDefault="00624293" w:rsidP="00624293">
      <w:pPr>
        <w:widowControl w:val="0"/>
        <w:autoSpaceDE w:val="0"/>
        <w:autoSpaceDN w:val="0"/>
        <w:adjustRightInd w:val="0"/>
      </w:pPr>
      <w:r>
        <w:t>A lab technician is tested for her consistency by taking multiple measurements of cholesterol levels from the same blood sample.  The target accuracy is a variance in measurements of 1.2 or less.  If the lab technician takes 16 measurements and the variance of the measurements in the sample is 2.2, does this provide enough evidence to reject the claim that the lab technician’s accuracy is within the target accuracy?</w:t>
      </w:r>
    </w:p>
    <w:p w:rsidR="00624293" w:rsidRDefault="00624293" w:rsidP="00624293">
      <w:pPr>
        <w:widowControl w:val="0"/>
        <w:autoSpaceDE w:val="0"/>
        <w:autoSpaceDN w:val="0"/>
        <w:adjustRightInd w:val="0"/>
      </w:pPr>
    </w:p>
    <w:p w:rsidR="00624293" w:rsidRPr="004C2C0E" w:rsidRDefault="00624293" w:rsidP="00624293">
      <w:pPr>
        <w:tabs>
          <w:tab w:val="left" w:pos="360"/>
        </w:tabs>
        <w:autoSpaceDE w:val="0"/>
        <w:autoSpaceDN w:val="0"/>
        <w:adjustRightInd w:val="0"/>
        <w:ind w:left="360" w:hanging="360"/>
        <w:rPr>
          <w:sz w:val="20"/>
          <w:szCs w:val="20"/>
        </w:rPr>
      </w:pPr>
      <w:r>
        <w:t xml:space="preserve">1. </w:t>
      </w:r>
      <w:r>
        <w:tab/>
        <w:t xml:space="preserve">State the null and alternative hypotheses. </w:t>
      </w:r>
    </w:p>
    <w:p w:rsidR="00624293" w:rsidRDefault="00624293" w:rsidP="00624293">
      <w:pPr>
        <w:autoSpaceDE w:val="0"/>
        <w:autoSpaceDN w:val="0"/>
        <w:adjustRightInd w:val="0"/>
      </w:pPr>
    </w:p>
    <w:p w:rsidR="00624293" w:rsidRDefault="00624293" w:rsidP="00624293">
      <w:pPr>
        <w:tabs>
          <w:tab w:val="left" w:pos="720"/>
        </w:tabs>
        <w:autoSpaceDE w:val="0"/>
        <w:autoSpaceDN w:val="0"/>
        <w:adjustRightInd w:val="0"/>
        <w:ind w:left="720" w:hanging="360"/>
      </w:pPr>
      <w:r>
        <w:t>A.</w:t>
      </w:r>
      <w:r>
        <w:tab/>
        <w:t>H</w:t>
      </w:r>
      <w:r w:rsidRPr="009645BF">
        <w:rPr>
          <w:vertAlign w:val="subscript"/>
        </w:rPr>
        <w:t>0</w:t>
      </w:r>
      <w:r>
        <w:t xml:space="preserve">: </w:t>
      </w:r>
      <w:r>
        <w:rPr>
          <w:rFonts w:ascii="Symbol" w:hAnsi="Symbol"/>
        </w:rPr>
        <w:t></w:t>
      </w:r>
      <w:r w:rsidRPr="005176E8">
        <w:rPr>
          <w:rFonts w:ascii="Symbol" w:hAnsi="Symbol"/>
          <w:vertAlign w:val="superscript"/>
        </w:rPr>
        <w:t></w:t>
      </w:r>
      <w:r>
        <w:t xml:space="preserve"> </w:t>
      </w:r>
      <w:r>
        <w:rPr>
          <w:rFonts w:ascii="Arial" w:hAnsi="Arial" w:cs="Arial"/>
        </w:rPr>
        <w:t>&lt;</w:t>
      </w:r>
      <w:r>
        <w:t xml:space="preserve"> 1.2, H</w:t>
      </w:r>
      <w:r>
        <w:rPr>
          <w:vertAlign w:val="subscript"/>
        </w:rPr>
        <w:t>1</w:t>
      </w:r>
      <w:r>
        <w:t xml:space="preserve">: </w:t>
      </w:r>
      <w:r>
        <w:rPr>
          <w:rFonts w:ascii="Symbol" w:hAnsi="Symbol"/>
        </w:rPr>
        <w:t></w:t>
      </w:r>
      <w:r w:rsidRPr="005176E8">
        <w:rPr>
          <w:rFonts w:ascii="Symbol" w:hAnsi="Symbol"/>
          <w:vertAlign w:val="superscript"/>
        </w:rPr>
        <w:t></w:t>
      </w:r>
      <w:r>
        <w:t xml:space="preserve"> ≠ 1.2</w:t>
      </w:r>
    </w:p>
    <w:p w:rsidR="00624293" w:rsidRDefault="00624293" w:rsidP="00624293">
      <w:pPr>
        <w:tabs>
          <w:tab w:val="left" w:pos="720"/>
        </w:tabs>
        <w:autoSpaceDE w:val="0"/>
        <w:autoSpaceDN w:val="0"/>
        <w:adjustRightInd w:val="0"/>
        <w:ind w:left="720" w:hanging="360"/>
      </w:pPr>
      <w:r>
        <w:t>B.</w:t>
      </w:r>
      <w:r>
        <w:tab/>
        <w:t>H</w:t>
      </w:r>
      <w:r w:rsidRPr="009645BF">
        <w:rPr>
          <w:vertAlign w:val="subscript"/>
        </w:rPr>
        <w:t>0</w:t>
      </w:r>
      <w:r>
        <w:t xml:space="preserve">: </w:t>
      </w:r>
      <w:r>
        <w:rPr>
          <w:rFonts w:ascii="Symbol" w:hAnsi="Symbol"/>
        </w:rPr>
        <w:t></w:t>
      </w:r>
      <w:r w:rsidRPr="005176E8">
        <w:rPr>
          <w:rFonts w:ascii="Symbol" w:hAnsi="Symbol"/>
          <w:vertAlign w:val="superscript"/>
        </w:rPr>
        <w:t></w:t>
      </w:r>
      <w:r>
        <w:t xml:space="preserve"> </w:t>
      </w:r>
      <w:r>
        <w:rPr>
          <w:rFonts w:ascii="Arial" w:hAnsi="Arial" w:cs="Arial"/>
        </w:rPr>
        <w:t>≤</w:t>
      </w:r>
      <w:r>
        <w:t xml:space="preserve"> 1.2, H</w:t>
      </w:r>
      <w:r>
        <w:rPr>
          <w:vertAlign w:val="subscript"/>
        </w:rPr>
        <w:t>1</w:t>
      </w:r>
      <w:r>
        <w:t xml:space="preserve">: </w:t>
      </w:r>
      <w:r>
        <w:rPr>
          <w:rFonts w:ascii="Symbol" w:hAnsi="Symbol"/>
        </w:rPr>
        <w:t></w:t>
      </w:r>
      <w:r w:rsidRPr="005176E8">
        <w:rPr>
          <w:rFonts w:ascii="Symbol" w:hAnsi="Symbol"/>
          <w:vertAlign w:val="superscript"/>
        </w:rPr>
        <w:t></w:t>
      </w:r>
      <w:r>
        <w:t xml:space="preserve"> &gt; 1.2</w:t>
      </w:r>
    </w:p>
    <w:p w:rsidR="00624293" w:rsidRDefault="00624293" w:rsidP="00624293">
      <w:pPr>
        <w:tabs>
          <w:tab w:val="left" w:pos="720"/>
        </w:tabs>
        <w:autoSpaceDE w:val="0"/>
        <w:autoSpaceDN w:val="0"/>
        <w:adjustRightInd w:val="0"/>
        <w:ind w:left="720" w:hanging="360"/>
      </w:pPr>
      <w:r>
        <w:t>C.</w:t>
      </w:r>
      <w:r>
        <w:tab/>
        <w:t>H</w:t>
      </w:r>
      <w:r w:rsidRPr="009645BF">
        <w:rPr>
          <w:vertAlign w:val="subscript"/>
        </w:rPr>
        <w:t>0</w:t>
      </w:r>
      <w:r>
        <w:t xml:space="preserve">: </w:t>
      </w:r>
      <w:r>
        <w:rPr>
          <w:rFonts w:ascii="Symbol" w:hAnsi="Symbol"/>
        </w:rPr>
        <w:t></w:t>
      </w:r>
      <w:r w:rsidRPr="005176E8">
        <w:rPr>
          <w:rFonts w:ascii="Symbol" w:hAnsi="Symbol"/>
          <w:vertAlign w:val="superscript"/>
        </w:rPr>
        <w:t></w:t>
      </w:r>
      <w:r>
        <w:t xml:space="preserve"> ≠ 1.2, H</w:t>
      </w:r>
      <w:r>
        <w:rPr>
          <w:vertAlign w:val="subscript"/>
        </w:rPr>
        <w:t>1</w:t>
      </w:r>
      <w:r>
        <w:t xml:space="preserve">: </w:t>
      </w:r>
      <w:r>
        <w:rPr>
          <w:rFonts w:ascii="Symbol" w:hAnsi="Symbol"/>
        </w:rPr>
        <w:t></w:t>
      </w:r>
      <w:r w:rsidRPr="005176E8">
        <w:rPr>
          <w:rFonts w:ascii="Symbol" w:hAnsi="Symbol"/>
          <w:vertAlign w:val="superscript"/>
        </w:rPr>
        <w:t></w:t>
      </w:r>
      <w:r>
        <w:t xml:space="preserve"> = 1.2</w:t>
      </w:r>
    </w:p>
    <w:p w:rsidR="00624293" w:rsidRDefault="00624293" w:rsidP="00624293">
      <w:pPr>
        <w:tabs>
          <w:tab w:val="left" w:pos="720"/>
        </w:tabs>
        <w:autoSpaceDE w:val="0"/>
        <w:autoSpaceDN w:val="0"/>
        <w:adjustRightInd w:val="0"/>
        <w:ind w:left="720" w:hanging="360"/>
      </w:pPr>
      <w:r>
        <w:t>D.</w:t>
      </w:r>
      <w:r>
        <w:tab/>
        <w:t>H</w:t>
      </w:r>
      <w:r w:rsidRPr="009645BF">
        <w:rPr>
          <w:vertAlign w:val="subscript"/>
        </w:rPr>
        <w:t>0</w:t>
      </w:r>
      <w:r>
        <w:t xml:space="preserve">: </w:t>
      </w:r>
      <w:r>
        <w:rPr>
          <w:rFonts w:ascii="Symbol" w:hAnsi="Symbol"/>
        </w:rPr>
        <w:t></w:t>
      </w:r>
      <w:r w:rsidRPr="005176E8">
        <w:rPr>
          <w:rFonts w:ascii="Symbol" w:hAnsi="Symbol"/>
          <w:vertAlign w:val="superscript"/>
        </w:rPr>
        <w:t></w:t>
      </w:r>
      <w:r>
        <w:t xml:space="preserve"> ≥ 1.2, H</w:t>
      </w:r>
      <w:r>
        <w:rPr>
          <w:vertAlign w:val="subscript"/>
        </w:rPr>
        <w:t>1</w:t>
      </w:r>
      <w:r>
        <w:t xml:space="preserve">: </w:t>
      </w:r>
      <w:r>
        <w:rPr>
          <w:rFonts w:ascii="Symbol" w:hAnsi="Symbol"/>
        </w:rPr>
        <w:t></w:t>
      </w:r>
      <w:r w:rsidRPr="005176E8">
        <w:rPr>
          <w:rFonts w:ascii="Symbol" w:hAnsi="Symbol"/>
          <w:vertAlign w:val="superscript"/>
        </w:rPr>
        <w:t></w:t>
      </w:r>
      <w:r>
        <w:t xml:space="preserve"> ≠ 1.2</w:t>
      </w:r>
    </w:p>
    <w:p w:rsidR="00624293" w:rsidRDefault="00624293" w:rsidP="00624293">
      <w:pPr>
        <w:widowControl w:val="0"/>
        <w:autoSpaceDE w:val="0"/>
        <w:autoSpaceDN w:val="0"/>
        <w:adjustRightInd w:val="0"/>
      </w:pPr>
    </w:p>
    <w:p w:rsidR="00624293" w:rsidRDefault="00624293" w:rsidP="00624293">
      <w:pPr>
        <w:widowControl w:val="0"/>
        <w:tabs>
          <w:tab w:val="left" w:pos="360"/>
        </w:tabs>
        <w:autoSpaceDE w:val="0"/>
        <w:autoSpaceDN w:val="0"/>
        <w:adjustRightInd w:val="0"/>
        <w:ind w:left="360" w:hanging="360"/>
      </w:pPr>
      <w:r>
        <w:t xml:space="preserve">2.  </w:t>
      </w:r>
      <w:r>
        <w:tab/>
        <w:t>Compute the value of the appropriate test statistic.</w:t>
      </w:r>
    </w:p>
    <w:p w:rsidR="00624293" w:rsidRDefault="00624293" w:rsidP="00624293">
      <w:pPr>
        <w:widowControl w:val="0"/>
        <w:tabs>
          <w:tab w:val="left" w:pos="360"/>
        </w:tabs>
        <w:autoSpaceDE w:val="0"/>
        <w:autoSpaceDN w:val="0"/>
        <w:adjustRightInd w:val="0"/>
        <w:ind w:left="360" w:hanging="360"/>
      </w:pPr>
    </w:p>
    <w:p w:rsidR="00624293" w:rsidRDefault="00624293" w:rsidP="00624293">
      <w:pPr>
        <w:tabs>
          <w:tab w:val="left" w:pos="720"/>
        </w:tabs>
        <w:autoSpaceDE w:val="0"/>
        <w:autoSpaceDN w:val="0"/>
        <w:adjustRightInd w:val="0"/>
        <w:ind w:left="720" w:hanging="360"/>
      </w:pPr>
      <w:r>
        <w:t>A.</w:t>
      </w:r>
      <w:r>
        <w:tab/>
        <w:t>t = 27.50</w:t>
      </w:r>
    </w:p>
    <w:p w:rsidR="00624293" w:rsidRDefault="00624293" w:rsidP="00624293">
      <w:pPr>
        <w:tabs>
          <w:tab w:val="left" w:pos="720"/>
        </w:tabs>
        <w:autoSpaceDE w:val="0"/>
        <w:autoSpaceDN w:val="0"/>
        <w:adjustRightInd w:val="0"/>
        <w:ind w:left="720" w:hanging="360"/>
      </w:pPr>
      <w:r>
        <w:t>B.</w:t>
      </w:r>
      <w:r>
        <w:tab/>
        <w:t>z = 1.65</w:t>
      </w:r>
    </w:p>
    <w:p w:rsidR="00624293" w:rsidRDefault="00624293" w:rsidP="00624293">
      <w:pPr>
        <w:tabs>
          <w:tab w:val="left" w:pos="720"/>
        </w:tabs>
        <w:autoSpaceDE w:val="0"/>
        <w:autoSpaceDN w:val="0"/>
        <w:adjustRightInd w:val="0"/>
        <w:ind w:left="720" w:hanging="360"/>
      </w:pPr>
      <w:r>
        <w:t>C.</w:t>
      </w:r>
      <w:r>
        <w:tab/>
      </w:r>
      <w:r w:rsidRPr="005176E8">
        <w:rPr>
          <w:rFonts w:ascii="Symbol" w:hAnsi="Symbol"/>
        </w:rPr>
        <w:t></w:t>
      </w:r>
      <w:r w:rsidRPr="005176E8">
        <w:rPr>
          <w:vertAlign w:val="superscript"/>
        </w:rPr>
        <w:t>2</w:t>
      </w:r>
      <w:r>
        <w:t xml:space="preserve"> = 27.50</w:t>
      </w:r>
    </w:p>
    <w:p w:rsidR="00624293" w:rsidRDefault="00624293" w:rsidP="00624293">
      <w:pPr>
        <w:tabs>
          <w:tab w:val="left" w:pos="720"/>
        </w:tabs>
        <w:autoSpaceDE w:val="0"/>
        <w:autoSpaceDN w:val="0"/>
        <w:adjustRightInd w:val="0"/>
        <w:ind w:left="720" w:hanging="360"/>
      </w:pPr>
      <w:r>
        <w:t>D.</w:t>
      </w:r>
      <w:r>
        <w:tab/>
      </w:r>
      <w:r w:rsidRPr="005176E8">
        <w:rPr>
          <w:rFonts w:ascii="Symbol" w:hAnsi="Symbol"/>
        </w:rPr>
        <w:t></w:t>
      </w:r>
      <w:r w:rsidRPr="005176E8">
        <w:rPr>
          <w:vertAlign w:val="superscript"/>
        </w:rPr>
        <w:t>2</w:t>
      </w:r>
      <w:r>
        <w:t xml:space="preserve"> = 30.58</w:t>
      </w:r>
    </w:p>
    <w:p w:rsidR="00624293" w:rsidRDefault="00624293" w:rsidP="00624293">
      <w:pPr>
        <w:widowControl w:val="0"/>
        <w:tabs>
          <w:tab w:val="left" w:pos="360"/>
        </w:tabs>
        <w:autoSpaceDE w:val="0"/>
        <w:autoSpaceDN w:val="0"/>
        <w:adjustRightInd w:val="0"/>
        <w:ind w:left="360" w:hanging="360"/>
      </w:pPr>
    </w:p>
    <w:p w:rsidR="00624293" w:rsidRDefault="00624293" w:rsidP="00624293">
      <w:pPr>
        <w:widowControl w:val="0"/>
        <w:tabs>
          <w:tab w:val="left" w:pos="360"/>
        </w:tabs>
        <w:autoSpaceDE w:val="0"/>
        <w:autoSpaceDN w:val="0"/>
        <w:adjustRightInd w:val="0"/>
        <w:ind w:left="360" w:hanging="360"/>
      </w:pPr>
      <w:r>
        <w:t xml:space="preserve">3.  At the </w:t>
      </w:r>
      <w:r w:rsidRPr="001900AA">
        <w:rPr>
          <w:rFonts w:ascii="Symbol" w:hAnsi="Symbol"/>
        </w:rPr>
        <w:t></w:t>
      </w:r>
      <w:r>
        <w:t xml:space="preserve"> = .01 level of significance, what is your conclusion?</w:t>
      </w:r>
    </w:p>
    <w:p w:rsidR="00624293" w:rsidRDefault="00624293" w:rsidP="00624293">
      <w:pPr>
        <w:widowControl w:val="0"/>
        <w:tabs>
          <w:tab w:val="left" w:pos="360"/>
        </w:tabs>
        <w:autoSpaceDE w:val="0"/>
        <w:autoSpaceDN w:val="0"/>
        <w:adjustRightInd w:val="0"/>
        <w:ind w:left="360" w:hanging="360"/>
      </w:pPr>
    </w:p>
    <w:p w:rsidR="00624293" w:rsidRDefault="00624293" w:rsidP="00624293">
      <w:pPr>
        <w:tabs>
          <w:tab w:val="left" w:pos="720"/>
        </w:tabs>
        <w:autoSpaceDE w:val="0"/>
        <w:autoSpaceDN w:val="0"/>
        <w:adjustRightInd w:val="0"/>
        <w:ind w:left="720" w:hanging="360"/>
      </w:pPr>
      <w:r>
        <w:t>A.</w:t>
      </w:r>
      <w:r>
        <w:tab/>
        <w:t>Do not reject H</w:t>
      </w:r>
      <w:r w:rsidRPr="00187D74">
        <w:rPr>
          <w:vertAlign w:val="subscript"/>
        </w:rPr>
        <w:t>0</w:t>
      </w:r>
      <w:r>
        <w:t xml:space="preserve">.  At the </w:t>
      </w:r>
      <w:r w:rsidRPr="008D4E07">
        <w:rPr>
          <w:rFonts w:ascii="Symbol" w:hAnsi="Symbol"/>
        </w:rPr>
        <w:t></w:t>
      </w:r>
      <w:r>
        <w:t xml:space="preserve"> = .01 level of significance there is not sufficient evidence to suggest that this technician’s true variance is greater than the target accuracy.  </w:t>
      </w:r>
    </w:p>
    <w:p w:rsidR="00624293" w:rsidRPr="001F4D21" w:rsidRDefault="00624293" w:rsidP="00624293">
      <w:pPr>
        <w:tabs>
          <w:tab w:val="left" w:pos="720"/>
        </w:tabs>
        <w:autoSpaceDE w:val="0"/>
        <w:autoSpaceDN w:val="0"/>
        <w:adjustRightInd w:val="0"/>
        <w:ind w:left="720" w:hanging="360"/>
      </w:pPr>
      <w:r>
        <w:t>B.</w:t>
      </w:r>
      <w:r>
        <w:tab/>
        <w:t>Reject H</w:t>
      </w:r>
      <w:r w:rsidRPr="00187D74">
        <w:rPr>
          <w:vertAlign w:val="subscript"/>
        </w:rPr>
        <w:t>0</w:t>
      </w:r>
      <w:r>
        <w:t xml:space="preserve">.  </w:t>
      </w:r>
      <w:bookmarkStart w:id="0" w:name="OLE_LINK1"/>
      <w:bookmarkStart w:id="1" w:name="OLE_LINK2"/>
      <w:r>
        <w:t xml:space="preserve">At the </w:t>
      </w:r>
      <w:r w:rsidRPr="008D4E07">
        <w:rPr>
          <w:rFonts w:ascii="Symbol" w:hAnsi="Symbol"/>
        </w:rPr>
        <w:t></w:t>
      </w:r>
      <w:r>
        <w:t xml:space="preserve"> = .01 level of significance,</w:t>
      </w:r>
      <w:bookmarkEnd w:id="0"/>
      <w:bookmarkEnd w:id="1"/>
      <w:r>
        <w:t xml:space="preserve"> there is enough evidence to support the claim that this technician’s variance is larger than the target accuracy.  </w:t>
      </w:r>
    </w:p>
    <w:p w:rsidR="00624293" w:rsidRDefault="00624293" w:rsidP="00624293">
      <w:pPr>
        <w:tabs>
          <w:tab w:val="left" w:pos="720"/>
        </w:tabs>
        <w:autoSpaceDE w:val="0"/>
        <w:autoSpaceDN w:val="0"/>
        <w:adjustRightInd w:val="0"/>
        <w:ind w:left="720" w:hanging="360"/>
      </w:pPr>
      <w:r>
        <w:t>C.</w:t>
      </w:r>
      <w:r>
        <w:tab/>
        <w:t xml:space="preserve">Cannot determine </w:t>
      </w:r>
    </w:p>
    <w:p w:rsidR="00624293" w:rsidRPr="00A2231F" w:rsidRDefault="00624293" w:rsidP="00624293">
      <w:pPr>
        <w:widowControl w:val="0"/>
        <w:tabs>
          <w:tab w:val="left" w:pos="720"/>
        </w:tabs>
        <w:autoSpaceDE w:val="0"/>
        <w:autoSpaceDN w:val="0"/>
        <w:adjustRightInd w:val="0"/>
        <w:ind w:left="720" w:hanging="360"/>
      </w:pPr>
      <w:r>
        <w:t>D.</w:t>
      </w:r>
      <w:r>
        <w:tab/>
        <w:t>Reject H</w:t>
      </w:r>
      <w:r w:rsidRPr="00187D74">
        <w:rPr>
          <w:vertAlign w:val="subscript"/>
        </w:rPr>
        <w:t>0</w:t>
      </w:r>
      <w:r>
        <w:t xml:space="preserve">.  At the </w:t>
      </w:r>
      <w:r w:rsidRPr="008D4E07">
        <w:rPr>
          <w:rFonts w:ascii="Symbol" w:hAnsi="Symbol"/>
        </w:rPr>
        <w:t></w:t>
      </w:r>
      <w:r>
        <w:t xml:space="preserve"> = .01 level of significance, there is not enough evidence to support the claim that this technician’s true variance is larger than the target accuracy.</w:t>
      </w:r>
    </w:p>
    <w:p w:rsidR="00656F33" w:rsidRDefault="00656F33"/>
    <w:sectPr w:rsidR="00656F33" w:rsidSect="00624293">
      <w:headerReference w:type="default" r:id="rId4"/>
      <w:footerReference w:type="even" r:id="rId5"/>
      <w:footerReference w:type="default" r:id="rId6"/>
      <w:headerReference w:type="first" r:id="rId7"/>
      <w:footerReference w:type="first" r:id="rId8"/>
      <w:pgSz w:w="12240" w:h="15840" w:code="1"/>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50" w:rsidRDefault="00624293" w:rsidP="00215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550" w:rsidRDefault="00624293" w:rsidP="002155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50" w:rsidRDefault="00624293" w:rsidP="00215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5550" w:rsidRDefault="00624293" w:rsidP="00F50E88">
    <w:pPr>
      <w:widowControl w:val="0"/>
      <w:autoSpaceDE w:val="0"/>
      <w:autoSpaceDN w:val="0"/>
      <w:adjustRightInd w:val="0"/>
      <w:ind w:right="360"/>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50" w:rsidRDefault="00624293">
    <w:pPr>
      <w:widowControl w:val="0"/>
      <w:autoSpaceDE w:val="0"/>
      <w:autoSpaceDN w:val="0"/>
      <w:adjustRightInd w:val="0"/>
      <w:jc w:val="center"/>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50" w:rsidRDefault="00624293">
    <w:pPr>
      <w:widowControl w:val="0"/>
      <w:autoSpaceDE w:val="0"/>
      <w:autoSpaceDN w:val="0"/>
      <w:adjustRightInd w:val="0"/>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50" w:rsidRDefault="00624293">
    <w:pPr>
      <w:widowControl w:val="0"/>
      <w:autoSpaceDE w:val="0"/>
      <w:autoSpaceDN w:val="0"/>
      <w:adjustRightInd w:val="0"/>
      <w:jc w:val="cent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293"/>
    <w:rsid w:val="00624293"/>
    <w:rsid w:val="00656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293"/>
    <w:pPr>
      <w:tabs>
        <w:tab w:val="center" w:pos="4320"/>
        <w:tab w:val="right" w:pos="8640"/>
      </w:tabs>
    </w:pPr>
  </w:style>
  <w:style w:type="character" w:customStyle="1" w:styleId="FooterChar">
    <w:name w:val="Footer Char"/>
    <w:basedOn w:val="DefaultParagraphFont"/>
    <w:link w:val="Footer"/>
    <w:rsid w:val="00624293"/>
    <w:rPr>
      <w:rFonts w:ascii="Times New Roman" w:eastAsia="Times New Roman" w:hAnsi="Times New Roman" w:cs="Times New Roman"/>
      <w:sz w:val="24"/>
      <w:szCs w:val="24"/>
    </w:rPr>
  </w:style>
  <w:style w:type="character" w:styleId="PageNumber">
    <w:name w:val="page number"/>
    <w:basedOn w:val="DefaultParagraphFont"/>
    <w:rsid w:val="006242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2009-12-19T17:56:00Z</dcterms:created>
  <dcterms:modified xsi:type="dcterms:W3CDTF">2009-12-19T17:57:00Z</dcterms:modified>
</cp:coreProperties>
</file>