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F4480E" w:rsidRPr="00F44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b/>
                <w:bCs/>
                <w:color w:val="FF6600"/>
                <w:sz w:val="17"/>
              </w:rPr>
              <w:t xml:space="preserve">Question 6 </w:t>
            </w:r>
          </w:p>
        </w:tc>
      </w:tr>
      <w:tr w:rsidR="00F4480E" w:rsidRPr="00F44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47625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80E" w:rsidRPr="00F4480E" w:rsidRDefault="00F4480E" w:rsidP="00F4480E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F4480E">
        <w:rPr>
          <w:rFonts w:ascii="Verdana" w:eastAsia="Times New Roman" w:hAnsi="Verdana" w:cs="Times New Roman"/>
          <w:color w:val="000000"/>
          <w:sz w:val="17"/>
          <w:szCs w:val="17"/>
        </w:rPr>
        <w:t>Cheaney</w:t>
      </w:r>
      <w:proofErr w:type="spellEnd"/>
      <w:r w:rsidRPr="00F4480E">
        <w:rPr>
          <w:rFonts w:ascii="Verdana" w:eastAsia="Times New Roman" w:hAnsi="Verdana" w:cs="Times New Roman"/>
          <w:color w:val="000000"/>
          <w:sz w:val="17"/>
          <w:szCs w:val="17"/>
        </w:rPr>
        <w:t xml:space="preserve"> Corporation owns a number of cruise ships and a chain of hotels. The hotels, which have not been profitable, were discontinued on September 1, 2008. The 2008 operating results for the company were as follows. </w:t>
      </w:r>
    </w:p>
    <w:tbl>
      <w:tblPr>
        <w:tblpPr w:leftFromText="45" w:rightFromText="45" w:vertAnchor="text"/>
        <w:tblW w:w="1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</w:tblGrid>
      <w:tr w:rsidR="00F4480E" w:rsidRPr="00F44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tbl>
      <w:tblPr>
        <w:tblW w:w="4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1200"/>
      </w:tblGrid>
      <w:tr w:rsidR="00F4480E" w:rsidRPr="00F4480E">
        <w:trPr>
          <w:tblCellSpacing w:w="0" w:type="dxa"/>
        </w:trPr>
        <w:tc>
          <w:tcPr>
            <w:tcW w:w="3000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Operating revenues</w:t>
            </w:r>
          </w:p>
        </w:tc>
        <w:tc>
          <w:tcPr>
            <w:tcW w:w="1200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$12,878,000</w:t>
            </w:r>
          </w:p>
        </w:tc>
      </w:tr>
      <w:tr w:rsidR="00F4480E" w:rsidRPr="00F4480E">
        <w:trPr>
          <w:tblCellSpacing w:w="0" w:type="dxa"/>
        </w:trPr>
        <w:tc>
          <w:tcPr>
            <w:tcW w:w="3000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Operating expenses</w:t>
            </w:r>
          </w:p>
        </w:tc>
        <w:tc>
          <w:tcPr>
            <w:tcW w:w="1200" w:type="dxa"/>
            <w:vAlign w:val="center"/>
            <w:hideMark/>
          </w:tcPr>
          <w:p w:rsidR="00F4480E" w:rsidRPr="00F4480E" w:rsidRDefault="00F4480E" w:rsidP="00F4480E">
            <w:pPr>
              <w:pBdr>
                <w:bottom w:val="single" w:sz="6" w:space="0" w:color="000000"/>
              </w:pBd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8,744,000</w:t>
            </w:r>
          </w:p>
        </w:tc>
      </w:tr>
      <w:tr w:rsidR="00F4480E" w:rsidRPr="00F4480E">
        <w:trPr>
          <w:tblCellSpacing w:w="0" w:type="dxa"/>
        </w:trPr>
        <w:tc>
          <w:tcPr>
            <w:tcW w:w="3000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Operating income</w:t>
            </w:r>
          </w:p>
        </w:tc>
        <w:tc>
          <w:tcPr>
            <w:tcW w:w="1200" w:type="dxa"/>
            <w:vAlign w:val="center"/>
            <w:hideMark/>
          </w:tcPr>
          <w:p w:rsidR="00F4480E" w:rsidRPr="00F4480E" w:rsidRDefault="00F4480E" w:rsidP="00F4480E">
            <w:pPr>
              <w:pBdr>
                <w:bottom w:val="double" w:sz="6" w:space="0" w:color="000000"/>
              </w:pBd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$ 4,134,000</w:t>
            </w:r>
          </w:p>
        </w:tc>
      </w:tr>
    </w:tbl>
    <w:p w:rsidR="00F4480E" w:rsidRPr="00F4480E" w:rsidRDefault="00F4480E" w:rsidP="00F4480E">
      <w:pPr>
        <w:spacing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480E">
        <w:rPr>
          <w:rFonts w:ascii="Verdana" w:eastAsia="Times New Roman" w:hAnsi="Verdana" w:cs="Times New Roman"/>
          <w:color w:val="000000"/>
          <w:sz w:val="17"/>
          <w:szCs w:val="17"/>
        </w:rPr>
        <w:t xml:space="preserve">Analysis discloses that these data include the operating results of the hotel chain, which were: operating revenues $2,173,000 and operating expenses $2,784,000. The hotels were sold at a gain of $218,000 before taxes. This gain is not included in the operating results. During the year, </w:t>
      </w:r>
      <w:proofErr w:type="spellStart"/>
      <w:r w:rsidRPr="00F4480E">
        <w:rPr>
          <w:rFonts w:ascii="Verdana" w:eastAsia="Times New Roman" w:hAnsi="Verdana" w:cs="Times New Roman"/>
          <w:color w:val="000000"/>
          <w:sz w:val="17"/>
          <w:szCs w:val="17"/>
        </w:rPr>
        <w:t>Cheaney</w:t>
      </w:r>
      <w:proofErr w:type="spellEnd"/>
      <w:r w:rsidRPr="00F4480E">
        <w:rPr>
          <w:rFonts w:ascii="Verdana" w:eastAsia="Times New Roman" w:hAnsi="Verdana" w:cs="Times New Roman"/>
          <w:color w:val="000000"/>
          <w:sz w:val="17"/>
          <w:szCs w:val="17"/>
        </w:rPr>
        <w:t xml:space="preserve"> suffered an extraordinary loss of $812,000 before taxes, which is not included in the operating results. In 2008, the company had other revenues and gains of $143,000, which are not included in the operating results. The corporation is in the 30% income tax bracket. </w:t>
      </w:r>
    </w:p>
    <w:p w:rsidR="00F4480E" w:rsidRPr="00F4480E" w:rsidRDefault="00F4480E" w:rsidP="00F4480E">
      <w:pPr>
        <w:spacing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480E">
        <w:rPr>
          <w:rFonts w:ascii="Verdana" w:eastAsia="Times New Roman" w:hAnsi="Verdana" w:cs="Times New Roman"/>
          <w:color w:val="000000"/>
          <w:sz w:val="17"/>
          <w:szCs w:val="17"/>
        </w:rPr>
        <w:t xml:space="preserve">Prepare a condensed income statement. </w:t>
      </w:r>
      <w:r w:rsidRPr="00F4480E">
        <w:rPr>
          <w:rFonts w:ascii="Verdana" w:eastAsia="Times New Roman" w:hAnsi="Verdana" w:cs="Times New Roman"/>
          <w:b/>
          <w:bCs/>
          <w:i/>
          <w:iCs/>
          <w:color w:val="FF0000"/>
          <w:sz w:val="17"/>
          <w:szCs w:val="17"/>
        </w:rPr>
        <w:t xml:space="preserve">(List amounts from largest to smallest </w:t>
      </w:r>
      <w:proofErr w:type="spellStart"/>
      <w:r w:rsidRPr="00F4480E">
        <w:rPr>
          <w:rFonts w:ascii="Verdana" w:eastAsia="Times New Roman" w:hAnsi="Verdana" w:cs="Times New Roman"/>
          <w:b/>
          <w:bCs/>
          <w:i/>
          <w:iCs/>
          <w:color w:val="FF0000"/>
          <w:sz w:val="17"/>
          <w:szCs w:val="17"/>
        </w:rPr>
        <w:t>eg</w:t>
      </w:r>
      <w:proofErr w:type="spellEnd"/>
      <w:r w:rsidRPr="00F4480E">
        <w:rPr>
          <w:rFonts w:ascii="Verdana" w:eastAsia="Times New Roman" w:hAnsi="Verdana" w:cs="Times New Roman"/>
          <w:b/>
          <w:bCs/>
          <w:i/>
          <w:iCs/>
          <w:color w:val="FF0000"/>
          <w:sz w:val="17"/>
          <w:szCs w:val="17"/>
        </w:rPr>
        <w:t xml:space="preserve"> 10, 5, 3, </w:t>
      </w:r>
      <w:proofErr w:type="gramStart"/>
      <w:r w:rsidRPr="00F4480E">
        <w:rPr>
          <w:rFonts w:ascii="Verdana" w:eastAsia="Times New Roman" w:hAnsi="Verdana" w:cs="Times New Roman"/>
          <w:b/>
          <w:bCs/>
          <w:i/>
          <w:iCs/>
          <w:color w:val="FF0000"/>
          <w:sz w:val="17"/>
          <w:szCs w:val="17"/>
        </w:rPr>
        <w:t>2</w:t>
      </w:r>
      <w:proofErr w:type="gramEnd"/>
      <w:r w:rsidRPr="00F4480E">
        <w:rPr>
          <w:rFonts w:ascii="Verdana" w:eastAsia="Times New Roman" w:hAnsi="Verdana" w:cs="Times New Roman"/>
          <w:b/>
          <w:bCs/>
          <w:i/>
          <w:iCs/>
          <w:color w:val="FF0000"/>
          <w:sz w:val="17"/>
          <w:szCs w:val="17"/>
        </w:rPr>
        <w:t>.)</w:t>
      </w:r>
      <w:r w:rsidRPr="00F4480E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  <w:gridCol w:w="2475"/>
        <w:gridCol w:w="2475"/>
      </w:tblGrid>
      <w:tr w:rsidR="00F4480E" w:rsidRPr="00F4480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CHEANEY CORPORATION</w:t>
            </w:r>
          </w:p>
        </w:tc>
      </w:tr>
      <w:tr w:rsidR="00F4480E" w:rsidRPr="00F4480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Condensed Income Statement</w:t>
            </w:r>
          </w:p>
        </w:tc>
      </w:tr>
      <w:tr w:rsidR="00F4480E" w:rsidRPr="00F4480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4480E" w:rsidRPr="00F4480E" w:rsidRDefault="00F4480E" w:rsidP="00F4480E">
            <w:pPr>
              <w:pBdr>
                <w:bottom w:val="single" w:sz="6" w:space="0" w:color="000000"/>
              </w:pBdr>
              <w:spacing w:line="240" w:lineRule="auto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For the Year Ended December 31, 2008</w:t>
            </w:r>
          </w:p>
        </w:tc>
      </w:tr>
      <w:tr w:rsidR="00F4480E" w:rsidRPr="00F4480E">
        <w:trPr>
          <w:tblCellSpacing w:w="0" w:type="dxa"/>
        </w:trPr>
        <w:tc>
          <w:tcPr>
            <w:tcW w:w="4800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Operating revenues</w: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</w:t>
            </w: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60.75pt;height:18pt" o:ole="">
                  <v:imagedata r:id="rId5" o:title=""/>
                </v:shape>
                <w:control r:id="rId6" w:name="DefaultOcxName" w:shapeid="_x0000_i1083"/>
              </w:object>
            </w:r>
          </w:p>
        </w:tc>
      </w:tr>
      <w:tr w:rsidR="00F4480E" w:rsidRPr="00F4480E">
        <w:trPr>
          <w:tblCellSpacing w:w="0" w:type="dxa"/>
        </w:trPr>
        <w:tc>
          <w:tcPr>
            <w:tcW w:w="4800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82" type="#_x0000_t75" style="width:192pt;height:18pt" o:ole="">
                  <v:imagedata r:id="rId7" o:title=""/>
                </v:shape>
                <w:control r:id="rId8" w:name="DefaultOcxName1" w:shapeid="_x0000_i1082"/>
              </w:objec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pBdr>
                <w:bottom w:val="single" w:sz="6" w:space="0" w:color="000000"/>
              </w:pBd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81" type="#_x0000_t75" style="width:49.5pt;height:18pt" o:ole="">
                  <v:imagedata r:id="rId9" o:title=""/>
                </v:shape>
                <w:control r:id="rId10" w:name="DefaultOcxName2" w:shapeid="_x0000_i1081"/>
              </w:object>
            </w:r>
          </w:p>
        </w:tc>
      </w:tr>
      <w:tr w:rsidR="00F4480E" w:rsidRPr="00F4480E">
        <w:trPr>
          <w:tblCellSpacing w:w="0" w:type="dxa"/>
        </w:trPr>
        <w:tc>
          <w:tcPr>
            <w:tcW w:w="4800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Income from operations</w: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80" type="#_x0000_t75" style="width:60.75pt;height:18pt" o:ole="">
                  <v:imagedata r:id="rId5" o:title=""/>
                </v:shape>
                <w:control r:id="rId11" w:name="DefaultOcxName3" w:shapeid="_x0000_i1080"/>
              </w:object>
            </w:r>
          </w:p>
        </w:tc>
      </w:tr>
      <w:tr w:rsidR="00F4480E" w:rsidRPr="00F4480E">
        <w:trPr>
          <w:tblCellSpacing w:w="0" w:type="dxa"/>
        </w:trPr>
        <w:tc>
          <w:tcPr>
            <w:tcW w:w="4800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79" type="#_x0000_t75" style="width:192pt;height:18pt" o:ole="">
                  <v:imagedata r:id="rId7" o:title=""/>
                </v:shape>
                <w:control r:id="rId12" w:name="DefaultOcxName4" w:shapeid="_x0000_i1079"/>
              </w:objec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pBdr>
                <w:bottom w:val="single" w:sz="6" w:space="0" w:color="000000"/>
              </w:pBd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78" type="#_x0000_t75" style="width:49.5pt;height:18pt" o:ole="">
                  <v:imagedata r:id="rId9" o:title=""/>
                </v:shape>
                <w:control r:id="rId13" w:name="DefaultOcxName5" w:shapeid="_x0000_i1078"/>
              </w:object>
            </w:r>
          </w:p>
        </w:tc>
      </w:tr>
      <w:tr w:rsidR="00F4480E" w:rsidRPr="00F4480E">
        <w:trPr>
          <w:tblCellSpacing w:w="0" w:type="dxa"/>
        </w:trPr>
        <w:tc>
          <w:tcPr>
            <w:tcW w:w="4800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Income before income taxes</w: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77" type="#_x0000_t75" style="width:60.75pt;height:18pt" o:ole="">
                  <v:imagedata r:id="rId5" o:title=""/>
                </v:shape>
                <w:control r:id="rId14" w:name="DefaultOcxName6" w:shapeid="_x0000_i1077"/>
              </w:object>
            </w:r>
          </w:p>
        </w:tc>
      </w:tr>
      <w:tr w:rsidR="00F4480E" w:rsidRPr="00F4480E">
        <w:trPr>
          <w:tblCellSpacing w:w="0" w:type="dxa"/>
        </w:trPr>
        <w:tc>
          <w:tcPr>
            <w:tcW w:w="4800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76" type="#_x0000_t75" style="width:192pt;height:18pt" o:ole="">
                  <v:imagedata r:id="rId7" o:title=""/>
                </v:shape>
                <w:control r:id="rId15" w:name="DefaultOcxName7" w:shapeid="_x0000_i1076"/>
              </w:objec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pBdr>
                <w:bottom w:val="single" w:sz="6" w:space="0" w:color="000000"/>
              </w:pBd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75" type="#_x0000_t75" style="width:49.5pt;height:18pt" o:ole="">
                  <v:imagedata r:id="rId9" o:title=""/>
                </v:shape>
                <w:control r:id="rId16" w:name="DefaultOcxName8" w:shapeid="_x0000_i1075"/>
              </w:object>
            </w:r>
          </w:p>
        </w:tc>
      </w:tr>
      <w:tr w:rsidR="00F4480E" w:rsidRPr="00F4480E">
        <w:trPr>
          <w:tblCellSpacing w:w="0" w:type="dxa"/>
        </w:trPr>
        <w:tc>
          <w:tcPr>
            <w:tcW w:w="4800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Income from continuing operations</w: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74" type="#_x0000_t75" style="width:60.75pt;height:18pt" o:ole="">
                  <v:imagedata r:id="rId5" o:title=""/>
                </v:shape>
                <w:control r:id="rId17" w:name="DefaultOcxName9" w:shapeid="_x0000_i1074"/>
              </w:object>
            </w:r>
          </w:p>
        </w:tc>
      </w:tr>
      <w:tr w:rsidR="00F4480E" w:rsidRPr="00F4480E">
        <w:trPr>
          <w:tblCellSpacing w:w="0" w:type="dxa"/>
        </w:trPr>
        <w:tc>
          <w:tcPr>
            <w:tcW w:w="4800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Discontinued operations</w: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4480E" w:rsidRPr="00F4480E">
        <w:trPr>
          <w:tblCellSpacing w:w="0" w:type="dxa"/>
        </w:trPr>
        <w:tc>
          <w:tcPr>
            <w:tcW w:w="4800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   </w:t>
            </w: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73" type="#_x0000_t75" style="width:192pt;height:18pt" o:ole="">
                  <v:imagedata r:id="rId7" o:title=""/>
                </v:shape>
                <w:control r:id="rId18" w:name="DefaultOcxName10" w:shapeid="_x0000_i1073"/>
              </w:objec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</w:t>
            </w: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72" type="#_x0000_t75" style="width:60.75pt;height:18pt" o:ole="">
                  <v:imagedata r:id="rId5" o:title=""/>
                </v:shape>
                <w:control r:id="rId19" w:name="DefaultOcxName11" w:shapeid="_x0000_i1072"/>
              </w:objec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4480E" w:rsidRPr="00F4480E">
        <w:trPr>
          <w:tblCellSpacing w:w="0" w:type="dxa"/>
        </w:trPr>
        <w:tc>
          <w:tcPr>
            <w:tcW w:w="4800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   </w:t>
            </w: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71" type="#_x0000_t75" style="width:192pt;height:18pt" o:ole="">
                  <v:imagedata r:id="rId7" o:title=""/>
                </v:shape>
                <w:control r:id="rId20" w:name="DefaultOcxName12" w:shapeid="_x0000_i1071"/>
              </w:objec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pBdr>
                <w:bottom w:val="single" w:sz="6" w:space="0" w:color="000000"/>
              </w:pBd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70" type="#_x0000_t75" style="width:49.5pt;height:18pt" o:ole="">
                  <v:imagedata r:id="rId9" o:title=""/>
                </v:shape>
                <w:control r:id="rId21" w:name="DefaultOcxName13" w:shapeid="_x0000_i1070"/>
              </w:objec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pBdr>
                <w:bottom w:val="single" w:sz="6" w:space="0" w:color="000000"/>
              </w:pBd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69" type="#_x0000_t75" style="width:49.5pt;height:18pt" o:ole="">
                  <v:imagedata r:id="rId9" o:title=""/>
                </v:shape>
                <w:control r:id="rId22" w:name="DefaultOcxName14" w:shapeid="_x0000_i1069"/>
              </w:object>
            </w:r>
          </w:p>
        </w:tc>
      </w:tr>
      <w:tr w:rsidR="00F4480E" w:rsidRPr="00F4480E">
        <w:trPr>
          <w:tblCellSpacing w:w="0" w:type="dxa"/>
        </w:trPr>
        <w:tc>
          <w:tcPr>
            <w:tcW w:w="4800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Income before extraordinary item</w: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68" type="#_x0000_t75" style="width:60.75pt;height:18pt" o:ole="">
                  <v:imagedata r:id="rId5" o:title=""/>
                </v:shape>
                <w:control r:id="rId23" w:name="DefaultOcxName15" w:shapeid="_x0000_i1068"/>
              </w:object>
            </w:r>
          </w:p>
        </w:tc>
      </w:tr>
      <w:tr w:rsidR="00F4480E" w:rsidRPr="00F4480E">
        <w:trPr>
          <w:tblCellSpacing w:w="0" w:type="dxa"/>
        </w:trPr>
        <w:tc>
          <w:tcPr>
            <w:tcW w:w="4800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Extraordinary item</w: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4480E" w:rsidRPr="00F4480E">
        <w:trPr>
          <w:tblCellSpacing w:w="0" w:type="dxa"/>
        </w:trPr>
        <w:tc>
          <w:tcPr>
            <w:tcW w:w="4800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  </w:t>
            </w: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67" type="#_x0000_t75" style="width:192pt;height:18pt" o:ole="">
                  <v:imagedata r:id="rId7" o:title=""/>
                </v:shape>
                <w:control r:id="rId24" w:name="DefaultOcxName16" w:shapeid="_x0000_i1067"/>
              </w:objec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pBdr>
                <w:bottom w:val="single" w:sz="6" w:space="0" w:color="000000"/>
              </w:pBd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66" type="#_x0000_t75" style="width:49.5pt;height:18pt" o:ole="">
                  <v:imagedata r:id="rId9" o:title=""/>
                </v:shape>
                <w:control r:id="rId25" w:name="DefaultOcxName17" w:shapeid="_x0000_i1066"/>
              </w:object>
            </w:r>
          </w:p>
        </w:tc>
      </w:tr>
      <w:tr w:rsidR="00F4480E" w:rsidRPr="00F4480E">
        <w:trPr>
          <w:tblCellSpacing w:w="0" w:type="dxa"/>
        </w:trPr>
        <w:tc>
          <w:tcPr>
            <w:tcW w:w="4800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Net income</w: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F4480E" w:rsidRPr="00F4480E" w:rsidRDefault="00F4480E" w:rsidP="00F4480E">
            <w:pPr>
              <w:pBdr>
                <w:bottom w:val="double" w:sz="6" w:space="0" w:color="000000"/>
              </w:pBd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</w:t>
            </w:r>
            <w:r w:rsidRPr="00F4480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65" type="#_x0000_t75" style="width:49.5pt;height:18pt" o:ole="">
                  <v:imagedata r:id="rId9" o:title=""/>
                </v:shape>
                <w:control r:id="rId26" w:name="DefaultOcxName18" w:shapeid="_x0000_i1065"/>
              </w:object>
            </w:r>
          </w:p>
        </w:tc>
      </w:tr>
    </w:tbl>
    <w:p w:rsidR="00DF3725" w:rsidRDefault="00DF3725"/>
    <w:sectPr w:rsidR="00DF3725" w:rsidSect="00DF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80E"/>
    <w:rsid w:val="008F0C1B"/>
    <w:rsid w:val="00DF3725"/>
    <w:rsid w:val="00EB27A1"/>
    <w:rsid w:val="00F4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80E"/>
    <w:pPr>
      <w:spacing w:line="240" w:lineRule="auto"/>
      <w:ind w:left="0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extorange1">
    <w:name w:val="textorange1"/>
    <w:basedOn w:val="DefaultParagraphFont"/>
    <w:rsid w:val="00F4480E"/>
    <w:rPr>
      <w:rFonts w:ascii="Verdana" w:hAnsi="Verdana" w:hint="default"/>
      <w:color w:val="FF66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8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>Grizli777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Herring</dc:creator>
  <cp:lastModifiedBy>T. Herring</cp:lastModifiedBy>
  <cp:revision>1</cp:revision>
  <dcterms:created xsi:type="dcterms:W3CDTF">2009-12-18T03:20:00Z</dcterms:created>
  <dcterms:modified xsi:type="dcterms:W3CDTF">2009-12-18T03:20:00Z</dcterms:modified>
</cp:coreProperties>
</file>