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17B4" w:rsidP="002068C3">
      <w:pPr>
        <w:spacing w:line="360" w:lineRule="auto"/>
        <w:ind w:firstLineChars="200" w:firstLine="480"/>
        <w:jc w:val="left"/>
        <w:rPr>
          <w:rFonts w:ascii="Times New Roman" w:hAnsi="Times New Roman" w:cs="Times New Roman" w:hint="eastAsia"/>
          <w:sz w:val="24"/>
          <w:szCs w:val="24"/>
        </w:rPr>
      </w:pPr>
      <w:r w:rsidRPr="000017B4">
        <w:rPr>
          <w:rFonts w:ascii="Times New Roman" w:hAnsi="Times New Roman" w:cs="Times New Roman"/>
          <w:sz w:val="24"/>
          <w:szCs w:val="24"/>
        </w:rPr>
        <w:t xml:space="preserve">The </w:t>
      </w:r>
      <w:r>
        <w:rPr>
          <w:rFonts w:ascii="Times New Roman" w:hAnsi="Times New Roman" w:cs="Times New Roman" w:hint="eastAsia"/>
          <w:sz w:val="24"/>
          <w:szCs w:val="24"/>
        </w:rPr>
        <w:t>Bondport file at the text website will help in the solution of the following church endowment fund case study. (This is an actual situation with the original market price data preserved.) In May 1990, Local Church had an endowment fund with a market value of about $750,000. This fund was managed by a bank trust department with a primary objective of growth of income and a secondary objective of income.</w:t>
      </w:r>
    </w:p>
    <w:p w:rsidR="000017B4" w:rsidRDefault="000017B4" w:rsidP="002068C3">
      <w:pPr>
        <w:spacing w:line="360" w:lineRule="auto"/>
        <w:ind w:firstLine="480"/>
        <w:jc w:val="left"/>
        <w:rPr>
          <w:rFonts w:ascii="Times New Roman" w:hAnsi="Times New Roman" w:cs="Times New Roman" w:hint="eastAsia"/>
          <w:sz w:val="24"/>
          <w:szCs w:val="24"/>
        </w:rPr>
      </w:pPr>
      <w:r>
        <w:rPr>
          <w:rFonts w:ascii="Times New Roman" w:hAnsi="Times New Roman" w:cs="Times New Roman" w:hint="eastAsia"/>
          <w:sz w:val="24"/>
          <w:szCs w:val="24"/>
        </w:rPr>
        <w:t>For calendar year 1990, the church had budgeted annual income of $54,600 from the endowment fund. Each month the bank forwarded a check for $4,550 (one-twelfth of the annual amount) to the church treasurer.</w:t>
      </w:r>
    </w:p>
    <w:p w:rsidR="000017B4" w:rsidRDefault="000017B4" w:rsidP="002068C3">
      <w:pPr>
        <w:spacing w:line="360" w:lineRule="auto"/>
        <w:ind w:firstLine="480"/>
        <w:jc w:val="left"/>
        <w:rPr>
          <w:rFonts w:ascii="Times New Roman" w:hAnsi="Times New Roman" w:cs="Times New Roman" w:hint="eastAsia"/>
          <w:sz w:val="24"/>
          <w:szCs w:val="24"/>
        </w:rPr>
      </w:pPr>
      <w:r>
        <w:rPr>
          <w:rFonts w:ascii="Times New Roman" w:hAnsi="Times New Roman" w:cs="Times New Roman" w:hint="eastAsia"/>
          <w:sz w:val="24"/>
          <w:szCs w:val="24"/>
        </w:rPr>
        <w:t>The church</w:t>
      </w:r>
      <w:r>
        <w:rPr>
          <w:rFonts w:ascii="Times New Roman" w:hAnsi="Times New Roman" w:cs="Times New Roman"/>
          <w:sz w:val="24"/>
          <w:szCs w:val="24"/>
        </w:rPr>
        <w:t>’</w:t>
      </w:r>
      <w:r>
        <w:rPr>
          <w:rFonts w:ascii="Times New Roman" w:hAnsi="Times New Roman" w:cs="Times New Roman" w:hint="eastAsia"/>
          <w:sz w:val="24"/>
          <w:szCs w:val="24"/>
        </w:rPr>
        <w:t>s board of trustees had formed an investment advisory committee (</w:t>
      </w:r>
      <w:r w:rsidR="00561AC8">
        <w:rPr>
          <w:rFonts w:ascii="Times New Roman" w:hAnsi="Times New Roman" w:cs="Times New Roman" w:hint="eastAsia"/>
          <w:sz w:val="24"/>
          <w:szCs w:val="24"/>
        </w:rPr>
        <w:t>I</w:t>
      </w:r>
      <w:r>
        <w:rPr>
          <w:rFonts w:ascii="Times New Roman" w:hAnsi="Times New Roman" w:cs="Times New Roman" w:hint="eastAsia"/>
          <w:sz w:val="24"/>
          <w:szCs w:val="24"/>
        </w:rPr>
        <w:t xml:space="preserve">AC) in 1988 to oversee the management of the fund and to increase the regularity of </w:t>
      </w:r>
      <w:r>
        <w:rPr>
          <w:rFonts w:ascii="Times New Roman" w:hAnsi="Times New Roman" w:cs="Times New Roman"/>
          <w:sz w:val="24"/>
          <w:szCs w:val="24"/>
        </w:rPr>
        <w:t>communication</w:t>
      </w:r>
      <w:r>
        <w:rPr>
          <w:rFonts w:ascii="Times New Roman" w:hAnsi="Times New Roman" w:cs="Times New Roman" w:hint="eastAsia"/>
          <w:sz w:val="24"/>
          <w:szCs w:val="24"/>
        </w:rPr>
        <w:t xml:space="preserve"> between the bank and the church. Although the bank had made periodic presentations to the board of trustees, membership of this board changed annually.</w:t>
      </w:r>
      <w:r w:rsidR="00561AC8">
        <w:rPr>
          <w:rFonts w:ascii="Times New Roman" w:hAnsi="Times New Roman" w:cs="Times New Roman" w:hint="eastAsia"/>
          <w:sz w:val="24"/>
          <w:szCs w:val="24"/>
        </w:rPr>
        <w:t xml:space="preserve"> The IAC was intended to provide some constancy to the long-term administration of the endowment fund and regular communication between the bank and the church. The members of the IAC (all of whom were church member) were all investment professionals.</w:t>
      </w:r>
    </w:p>
    <w:p w:rsidR="00561AC8" w:rsidRDefault="00561AC8" w:rsidP="002068C3">
      <w:pPr>
        <w:spacing w:line="360" w:lineRule="auto"/>
        <w:ind w:firstLine="480"/>
        <w:jc w:val="left"/>
        <w:rPr>
          <w:rFonts w:ascii="Times New Roman" w:hAnsi="Times New Roman" w:cs="Times New Roman" w:hint="eastAsia"/>
          <w:sz w:val="24"/>
          <w:szCs w:val="24"/>
        </w:rPr>
      </w:pPr>
      <w:r>
        <w:rPr>
          <w:rFonts w:ascii="Times New Roman" w:hAnsi="Times New Roman" w:cs="Times New Roman" w:hint="eastAsia"/>
          <w:sz w:val="24"/>
          <w:szCs w:val="24"/>
        </w:rPr>
        <w:t xml:space="preserve">In May 1990, the LAC discussed the feasibility of </w:t>
      </w:r>
      <w:r>
        <w:rPr>
          <w:rFonts w:ascii="Times New Roman" w:hAnsi="Times New Roman" w:cs="Times New Roman"/>
          <w:sz w:val="24"/>
          <w:szCs w:val="24"/>
        </w:rPr>
        <w:t>withdrawing</w:t>
      </w:r>
      <w:r>
        <w:rPr>
          <w:rFonts w:ascii="Times New Roman" w:hAnsi="Times New Roman" w:cs="Times New Roman" w:hint="eastAsia"/>
          <w:sz w:val="24"/>
          <w:szCs w:val="24"/>
        </w:rPr>
        <w:t xml:space="preserve"> the fixed-income portion of the endowment fund from the bank trust account and managing this portion of the fund themselves. The IAC</w:t>
      </w:r>
      <w:r w:rsidR="00596FE2">
        <w:rPr>
          <w:rFonts w:ascii="Times New Roman" w:hAnsi="Times New Roman" w:cs="Times New Roman" w:hint="eastAsia"/>
          <w:sz w:val="24"/>
          <w:szCs w:val="24"/>
        </w:rPr>
        <w:t xml:space="preserve"> members clearly had the capability to do so, and it appeared that this move </w:t>
      </w:r>
      <w:r w:rsidR="002068C3">
        <w:rPr>
          <w:rFonts w:ascii="Times New Roman" w:hAnsi="Times New Roman" w:cs="Times New Roman" w:hint="eastAsia"/>
          <w:sz w:val="24"/>
          <w:szCs w:val="24"/>
        </w:rPr>
        <w:t>would save the church about $3,9</w:t>
      </w:r>
      <w:r w:rsidR="00596FE2">
        <w:rPr>
          <w:rFonts w:ascii="Times New Roman" w:hAnsi="Times New Roman" w:cs="Times New Roman" w:hint="eastAsia"/>
          <w:sz w:val="24"/>
          <w:szCs w:val="24"/>
        </w:rPr>
        <w:t>00 in annual management fees.</w:t>
      </w:r>
    </w:p>
    <w:p w:rsidR="002068C3" w:rsidRDefault="002068C3" w:rsidP="002068C3">
      <w:pPr>
        <w:spacing w:line="360" w:lineRule="auto"/>
        <w:ind w:firstLine="480"/>
        <w:jc w:val="left"/>
        <w:rPr>
          <w:rFonts w:ascii="Times New Roman" w:hAnsi="Times New Roman" w:cs="Times New Roman" w:hint="eastAsia"/>
          <w:sz w:val="24"/>
          <w:szCs w:val="24"/>
        </w:rPr>
      </w:pPr>
      <w:r>
        <w:rPr>
          <w:rFonts w:ascii="Times New Roman" w:hAnsi="Times New Roman" w:cs="Times New Roman"/>
          <w:sz w:val="24"/>
          <w:szCs w:val="24"/>
        </w:rPr>
        <w:t>The</w:t>
      </w:r>
      <w:r>
        <w:rPr>
          <w:rFonts w:ascii="Times New Roman" w:hAnsi="Times New Roman" w:cs="Times New Roman" w:hint="eastAsia"/>
          <w:sz w:val="24"/>
          <w:szCs w:val="24"/>
        </w:rPr>
        <w:t xml:space="preserve"> LAC considered managing the equity portion of the fund as well, but </w:t>
      </w:r>
      <w:r>
        <w:rPr>
          <w:rFonts w:ascii="Times New Roman" w:hAnsi="Times New Roman" w:cs="Times New Roman"/>
          <w:sz w:val="24"/>
          <w:szCs w:val="24"/>
        </w:rPr>
        <w:t>several</w:t>
      </w:r>
      <w:r>
        <w:rPr>
          <w:rFonts w:ascii="Times New Roman" w:hAnsi="Times New Roman" w:cs="Times New Roman" w:hint="eastAsia"/>
          <w:sz w:val="24"/>
          <w:szCs w:val="24"/>
        </w:rPr>
        <w:t xml:space="preserve"> </w:t>
      </w:r>
      <w:r>
        <w:rPr>
          <w:rFonts w:ascii="Times New Roman" w:hAnsi="Times New Roman" w:cs="Times New Roman"/>
          <w:sz w:val="24"/>
          <w:szCs w:val="24"/>
        </w:rPr>
        <w:t>members</w:t>
      </w:r>
      <w:r>
        <w:rPr>
          <w:rFonts w:ascii="Times New Roman" w:hAnsi="Times New Roman" w:cs="Times New Roman" w:hint="eastAsia"/>
          <w:sz w:val="24"/>
          <w:szCs w:val="24"/>
        </w:rPr>
        <w:t xml:space="preserve"> were concerned about the lack of precedent within the church for assuming such a level of fiduciary responsibility. The consensus was that it would be better to go slowly and let the precedent of internal management of any part of the fund develop before dealing with the equity securities.</w:t>
      </w:r>
    </w:p>
    <w:p w:rsidR="002068C3" w:rsidRDefault="002068C3" w:rsidP="002068C3">
      <w:pPr>
        <w:spacing w:line="360" w:lineRule="auto"/>
        <w:ind w:firstLine="480"/>
        <w:jc w:val="left"/>
        <w:rPr>
          <w:rFonts w:ascii="Times New Roman" w:hAnsi="Times New Roman" w:cs="Times New Roman" w:hint="eastAsia"/>
          <w:sz w:val="24"/>
          <w:szCs w:val="24"/>
        </w:rPr>
      </w:pPr>
      <w:r>
        <w:rPr>
          <w:rFonts w:ascii="Times New Roman" w:hAnsi="Times New Roman" w:cs="Times New Roman" w:hint="eastAsia"/>
          <w:sz w:val="24"/>
          <w:szCs w:val="24"/>
        </w:rPr>
        <w:t>During the spring of 1990 the church was also in the final stages of selecting a new minister. The search committee fo</w:t>
      </w:r>
      <w:r w:rsidR="00DB0651">
        <w:rPr>
          <w:rFonts w:ascii="Times New Roman" w:hAnsi="Times New Roman" w:cs="Times New Roman" w:hint="eastAsia"/>
          <w:sz w:val="24"/>
          <w:szCs w:val="24"/>
        </w:rPr>
        <w:t>und a very talented man from out</w:t>
      </w:r>
      <w:r>
        <w:rPr>
          <w:rFonts w:ascii="Times New Roman" w:hAnsi="Times New Roman" w:cs="Times New Roman" w:hint="eastAsia"/>
          <w:sz w:val="24"/>
          <w:szCs w:val="24"/>
        </w:rPr>
        <w:t xml:space="preserve"> of state who seemed the perfect candidate. Finding suitable, affordable housing </w:t>
      </w:r>
      <w:r w:rsidR="00DB0651">
        <w:rPr>
          <w:rFonts w:ascii="Times New Roman" w:hAnsi="Times New Roman" w:cs="Times New Roman" w:hint="eastAsia"/>
          <w:sz w:val="24"/>
          <w:szCs w:val="24"/>
        </w:rPr>
        <w:t xml:space="preserve">for the minister, his </w:t>
      </w:r>
      <w:r w:rsidR="00DB0651">
        <w:rPr>
          <w:rFonts w:ascii="Times New Roman" w:hAnsi="Times New Roman" w:cs="Times New Roman" w:hint="eastAsia"/>
          <w:sz w:val="24"/>
          <w:szCs w:val="24"/>
        </w:rPr>
        <w:lastRenderedPageBreak/>
        <w:t>wife, his four children, and his two horses turned out to be a problem. As a consequence, the board of trustees agreed to loan him $50,000 from the endowment fund at an 8% interest rate, with the interest accruing (no payments being made) for five-year period. This development, coupled with the anticipated savings from moving the fixed-income portion of the fund, led the IAC to recommend to the church</w:t>
      </w:r>
      <w:r w:rsidR="00DB0651">
        <w:rPr>
          <w:rFonts w:ascii="Times New Roman" w:hAnsi="Times New Roman" w:cs="Times New Roman"/>
          <w:sz w:val="24"/>
          <w:szCs w:val="24"/>
        </w:rPr>
        <w:t>’</w:t>
      </w:r>
      <w:r w:rsidR="00DB0651">
        <w:rPr>
          <w:rFonts w:ascii="Times New Roman" w:hAnsi="Times New Roman" w:cs="Times New Roman" w:hint="eastAsia"/>
          <w:sz w:val="24"/>
          <w:szCs w:val="24"/>
        </w:rPr>
        <w:t>s board of trustees that the shift be made, and late in the year</w:t>
      </w:r>
      <w:r w:rsidR="00107AAE">
        <w:rPr>
          <w:rFonts w:ascii="Times New Roman" w:hAnsi="Times New Roman" w:cs="Times New Roman" w:hint="eastAsia"/>
          <w:sz w:val="24"/>
          <w:szCs w:val="24"/>
        </w:rPr>
        <w:t xml:space="preserve"> the funds were transferred to a custodial brokerage account at the stockbroker IAC member</w:t>
      </w:r>
      <w:r w:rsidR="00107AAE">
        <w:rPr>
          <w:rFonts w:ascii="Times New Roman" w:hAnsi="Times New Roman" w:cs="Times New Roman"/>
          <w:sz w:val="24"/>
          <w:szCs w:val="24"/>
        </w:rPr>
        <w:t>’</w:t>
      </w:r>
      <w:r w:rsidR="00107AAE">
        <w:rPr>
          <w:rFonts w:ascii="Times New Roman" w:hAnsi="Times New Roman" w:cs="Times New Roman" w:hint="eastAsia"/>
          <w:sz w:val="24"/>
          <w:szCs w:val="24"/>
        </w:rPr>
        <w:t>s firm. The following table shows the composition of the fund on January 1, 1991.</w:t>
      </w:r>
    </w:p>
    <w:tbl>
      <w:tblPr>
        <w:tblStyle w:val="a5"/>
        <w:tblW w:w="11766" w:type="dxa"/>
        <w:tblInd w:w="-1593" w:type="dxa"/>
        <w:tblLook w:val="04A0"/>
      </w:tblPr>
      <w:tblGrid>
        <w:gridCol w:w="1985"/>
        <w:gridCol w:w="3544"/>
        <w:gridCol w:w="2126"/>
        <w:gridCol w:w="2126"/>
        <w:gridCol w:w="1985"/>
      </w:tblGrid>
      <w:tr w:rsidR="00107AAE" w:rsidTr="000E20CC">
        <w:tc>
          <w:tcPr>
            <w:tcW w:w="1985"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Par</w:t>
            </w:r>
          </w:p>
        </w:tc>
        <w:tc>
          <w:tcPr>
            <w:tcW w:w="3544"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Bond</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Coupon (%)</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Maturity Date</w:t>
            </w:r>
          </w:p>
        </w:tc>
        <w:tc>
          <w:tcPr>
            <w:tcW w:w="1985"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Price</w:t>
            </w:r>
          </w:p>
        </w:tc>
      </w:tr>
      <w:tr w:rsidR="00107AAE" w:rsidTr="000E20CC">
        <w:tc>
          <w:tcPr>
            <w:tcW w:w="1985"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$25,000</w:t>
            </w:r>
          </w:p>
        </w:tc>
        <w:tc>
          <w:tcPr>
            <w:tcW w:w="3544"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Ford Motor Credit</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8.875</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5/15/94</w:t>
            </w:r>
          </w:p>
        </w:tc>
        <w:tc>
          <w:tcPr>
            <w:tcW w:w="1985"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104.375</w:t>
            </w:r>
          </w:p>
        </w:tc>
      </w:tr>
      <w:tr w:rsidR="00107AAE" w:rsidTr="000E20CC">
        <w:tc>
          <w:tcPr>
            <w:tcW w:w="1985"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$40,000</w:t>
            </w:r>
          </w:p>
        </w:tc>
        <w:tc>
          <w:tcPr>
            <w:tcW w:w="3544"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Virginia Electric &amp; Power</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9.375</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6/01/98</w:t>
            </w:r>
          </w:p>
        </w:tc>
        <w:tc>
          <w:tcPr>
            <w:tcW w:w="1985"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111</w:t>
            </w:r>
          </w:p>
        </w:tc>
      </w:tr>
      <w:tr w:rsidR="00107AAE" w:rsidTr="000E20CC">
        <w:tc>
          <w:tcPr>
            <w:tcW w:w="1985"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$30,000</w:t>
            </w:r>
          </w:p>
        </w:tc>
        <w:tc>
          <w:tcPr>
            <w:tcW w:w="3544"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Federal Home Loan Bank</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8.15</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4/27/92</w:t>
            </w:r>
          </w:p>
        </w:tc>
        <w:tc>
          <w:tcPr>
            <w:tcW w:w="1985"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101.312</w:t>
            </w:r>
          </w:p>
        </w:tc>
      </w:tr>
      <w:tr w:rsidR="00107AAE" w:rsidTr="000E20CC">
        <w:tc>
          <w:tcPr>
            <w:tcW w:w="1985"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$25,000</w:t>
            </w:r>
          </w:p>
        </w:tc>
        <w:tc>
          <w:tcPr>
            <w:tcW w:w="3544"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Federal Home Loan Bank</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8.60</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5/26/92</w:t>
            </w:r>
          </w:p>
        </w:tc>
        <w:tc>
          <w:tcPr>
            <w:tcW w:w="1985"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101.734</w:t>
            </w:r>
          </w:p>
        </w:tc>
      </w:tr>
      <w:tr w:rsidR="00107AAE" w:rsidTr="000E20CC">
        <w:tc>
          <w:tcPr>
            <w:tcW w:w="1985" w:type="dxa"/>
          </w:tcPr>
          <w:p w:rsidR="00107AAE" w:rsidRDefault="000E20CC"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$15,000</w:t>
            </w:r>
          </w:p>
        </w:tc>
        <w:tc>
          <w:tcPr>
            <w:tcW w:w="3544"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Federal Home Loan Bank</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8.80</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11/25/92</w:t>
            </w:r>
          </w:p>
        </w:tc>
        <w:tc>
          <w:tcPr>
            <w:tcW w:w="1985"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103.859</w:t>
            </w:r>
          </w:p>
        </w:tc>
      </w:tr>
      <w:tr w:rsidR="00107AAE" w:rsidTr="000E20CC">
        <w:tc>
          <w:tcPr>
            <w:tcW w:w="1985" w:type="dxa"/>
          </w:tcPr>
          <w:p w:rsidR="00107AAE" w:rsidRDefault="000E20CC"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$30,000</w:t>
            </w:r>
          </w:p>
        </w:tc>
        <w:tc>
          <w:tcPr>
            <w:tcW w:w="3544"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Federal Home Loan Bank</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9.50</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1/25/93</w:t>
            </w:r>
          </w:p>
        </w:tc>
        <w:tc>
          <w:tcPr>
            <w:tcW w:w="1985"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105.078</w:t>
            </w:r>
          </w:p>
        </w:tc>
      </w:tr>
      <w:tr w:rsidR="00107AAE" w:rsidTr="000E20CC">
        <w:tc>
          <w:tcPr>
            <w:tcW w:w="1985" w:type="dxa"/>
          </w:tcPr>
          <w:p w:rsidR="00107AAE" w:rsidRDefault="000E20CC"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$40,000</w:t>
            </w:r>
          </w:p>
        </w:tc>
        <w:tc>
          <w:tcPr>
            <w:tcW w:w="3544"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Federal Home Loan Bank</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10.75</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5/10/93</w:t>
            </w:r>
          </w:p>
        </w:tc>
        <w:tc>
          <w:tcPr>
            <w:tcW w:w="1985"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107.906</w:t>
            </w:r>
          </w:p>
        </w:tc>
      </w:tr>
      <w:tr w:rsidR="00107AAE" w:rsidTr="000E20CC">
        <w:tc>
          <w:tcPr>
            <w:tcW w:w="1985" w:type="dxa"/>
          </w:tcPr>
          <w:p w:rsidR="00107AAE" w:rsidRDefault="000E20CC"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$40,000</w:t>
            </w:r>
          </w:p>
        </w:tc>
        <w:tc>
          <w:tcPr>
            <w:tcW w:w="3544" w:type="dxa"/>
          </w:tcPr>
          <w:p w:rsidR="00107AAE" w:rsidRDefault="000E20CC"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U.S Treasury note</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8.00</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7/15/94</w:t>
            </w:r>
          </w:p>
        </w:tc>
        <w:tc>
          <w:tcPr>
            <w:tcW w:w="1985" w:type="dxa"/>
          </w:tcPr>
          <w:p w:rsidR="00107AAE" w:rsidRDefault="00107AAE" w:rsidP="00107AAE">
            <w:pPr>
              <w:spacing w:line="360" w:lineRule="auto"/>
              <w:jc w:val="left"/>
              <w:rPr>
                <w:rFonts w:ascii="Times New Roman" w:hAnsi="Times New Roman" w:cs="Times New Roman" w:hint="eastAsia"/>
                <w:sz w:val="24"/>
                <w:szCs w:val="24"/>
              </w:rPr>
            </w:pPr>
            <w:r>
              <w:rPr>
                <w:rFonts w:ascii="Times New Roman" w:hAnsi="Times New Roman" w:cs="Times New Roman" w:hint="eastAsia"/>
                <w:sz w:val="24"/>
                <w:szCs w:val="24"/>
              </w:rPr>
              <w:t>107</w:t>
            </w:r>
          </w:p>
        </w:tc>
      </w:tr>
      <w:tr w:rsidR="00107AAE" w:rsidTr="000E20CC">
        <w:tc>
          <w:tcPr>
            <w:tcW w:w="1985" w:type="dxa"/>
          </w:tcPr>
          <w:p w:rsidR="00107AAE" w:rsidRDefault="000E20CC"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$20,000</w:t>
            </w:r>
          </w:p>
        </w:tc>
        <w:tc>
          <w:tcPr>
            <w:tcW w:w="3544" w:type="dxa"/>
          </w:tcPr>
          <w:p w:rsidR="00107AAE" w:rsidRDefault="000E20CC"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Federal Home Loan Bank</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8.875</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6/26/95</w:t>
            </w:r>
          </w:p>
        </w:tc>
        <w:tc>
          <w:tcPr>
            <w:tcW w:w="1985" w:type="dxa"/>
          </w:tcPr>
          <w:p w:rsidR="00107AAE" w:rsidRDefault="00107AAE" w:rsidP="00107AAE">
            <w:pPr>
              <w:spacing w:line="360" w:lineRule="auto"/>
              <w:jc w:val="left"/>
              <w:rPr>
                <w:rFonts w:ascii="Times New Roman" w:hAnsi="Times New Roman" w:cs="Times New Roman" w:hint="eastAsia"/>
                <w:sz w:val="24"/>
                <w:szCs w:val="24"/>
              </w:rPr>
            </w:pPr>
            <w:r>
              <w:rPr>
                <w:rFonts w:ascii="Times New Roman" w:hAnsi="Times New Roman" w:cs="Times New Roman" w:hint="eastAsia"/>
                <w:sz w:val="24"/>
                <w:szCs w:val="24"/>
              </w:rPr>
              <w:t>110.281</w:t>
            </w:r>
          </w:p>
        </w:tc>
      </w:tr>
      <w:tr w:rsidR="00107AAE" w:rsidTr="000E20CC">
        <w:tc>
          <w:tcPr>
            <w:tcW w:w="1985" w:type="dxa"/>
          </w:tcPr>
          <w:p w:rsidR="00107AAE" w:rsidRDefault="000E20CC"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$50,000</w:t>
            </w:r>
          </w:p>
        </w:tc>
        <w:tc>
          <w:tcPr>
            <w:tcW w:w="3544" w:type="dxa"/>
          </w:tcPr>
          <w:p w:rsidR="00107AAE" w:rsidRDefault="000E20CC" w:rsidP="000E20C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Federal National Mortgage Assn</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9.35</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11/10/97</w:t>
            </w:r>
          </w:p>
        </w:tc>
        <w:tc>
          <w:tcPr>
            <w:tcW w:w="1985" w:type="dxa"/>
          </w:tcPr>
          <w:p w:rsidR="00107AAE" w:rsidRDefault="00107AAE" w:rsidP="00107AAE">
            <w:pPr>
              <w:spacing w:line="360" w:lineRule="auto"/>
              <w:jc w:val="left"/>
              <w:rPr>
                <w:rFonts w:ascii="Times New Roman" w:hAnsi="Times New Roman" w:cs="Times New Roman" w:hint="eastAsia"/>
                <w:sz w:val="24"/>
                <w:szCs w:val="24"/>
              </w:rPr>
            </w:pPr>
            <w:r>
              <w:rPr>
                <w:rFonts w:ascii="Times New Roman" w:hAnsi="Times New Roman" w:cs="Times New Roman" w:hint="eastAsia"/>
                <w:sz w:val="24"/>
                <w:szCs w:val="24"/>
              </w:rPr>
              <w:t>112.671</w:t>
            </w:r>
          </w:p>
        </w:tc>
      </w:tr>
      <w:tr w:rsidR="00107AAE" w:rsidTr="000E20CC">
        <w:tc>
          <w:tcPr>
            <w:tcW w:w="1985" w:type="dxa"/>
          </w:tcPr>
          <w:p w:rsidR="00107AAE" w:rsidRDefault="000E20CC"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$50,000</w:t>
            </w:r>
          </w:p>
        </w:tc>
        <w:tc>
          <w:tcPr>
            <w:tcW w:w="3544" w:type="dxa"/>
          </w:tcPr>
          <w:p w:rsidR="00107AAE" w:rsidRDefault="000E20CC"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Federal National Mortgage Assn</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9.55</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11/10/97</w:t>
            </w:r>
          </w:p>
        </w:tc>
        <w:tc>
          <w:tcPr>
            <w:tcW w:w="1985" w:type="dxa"/>
          </w:tcPr>
          <w:p w:rsidR="00107AAE" w:rsidRDefault="00107AAE" w:rsidP="00107AAE">
            <w:pPr>
              <w:spacing w:line="360" w:lineRule="auto"/>
              <w:jc w:val="left"/>
              <w:rPr>
                <w:rFonts w:ascii="Times New Roman" w:hAnsi="Times New Roman" w:cs="Times New Roman" w:hint="eastAsia"/>
                <w:sz w:val="24"/>
                <w:szCs w:val="24"/>
              </w:rPr>
            </w:pPr>
            <w:r>
              <w:rPr>
                <w:rFonts w:ascii="Times New Roman" w:hAnsi="Times New Roman" w:cs="Times New Roman" w:hint="eastAsia"/>
                <w:sz w:val="24"/>
                <w:szCs w:val="24"/>
              </w:rPr>
              <w:t>115.469</w:t>
            </w:r>
          </w:p>
        </w:tc>
      </w:tr>
      <w:tr w:rsidR="00107AAE" w:rsidTr="000E20CC">
        <w:tc>
          <w:tcPr>
            <w:tcW w:w="1985" w:type="dxa"/>
          </w:tcPr>
          <w:p w:rsidR="00107AAE" w:rsidRDefault="000E20CC"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$30,000</w:t>
            </w:r>
          </w:p>
        </w:tc>
        <w:tc>
          <w:tcPr>
            <w:tcW w:w="3544" w:type="dxa"/>
          </w:tcPr>
          <w:p w:rsidR="00107AAE" w:rsidRDefault="000E20CC"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U.S Treasury note</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8.00</w:t>
            </w:r>
          </w:p>
        </w:tc>
        <w:tc>
          <w:tcPr>
            <w:tcW w:w="2126" w:type="dxa"/>
          </w:tcPr>
          <w:p w:rsidR="00107AAE" w:rsidRDefault="00107AAE" w:rsidP="00107AAE">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8/15/99</w:t>
            </w:r>
          </w:p>
        </w:tc>
        <w:tc>
          <w:tcPr>
            <w:tcW w:w="1985" w:type="dxa"/>
          </w:tcPr>
          <w:p w:rsidR="00107AAE" w:rsidRDefault="00107AAE" w:rsidP="00107AAE">
            <w:pPr>
              <w:spacing w:line="360" w:lineRule="auto"/>
              <w:jc w:val="left"/>
              <w:rPr>
                <w:rFonts w:ascii="Times New Roman" w:hAnsi="Times New Roman" w:cs="Times New Roman" w:hint="eastAsia"/>
                <w:sz w:val="24"/>
                <w:szCs w:val="24"/>
              </w:rPr>
            </w:pPr>
            <w:r>
              <w:rPr>
                <w:rFonts w:ascii="Times New Roman" w:hAnsi="Times New Roman" w:cs="Times New Roman" w:hint="eastAsia"/>
                <w:sz w:val="24"/>
                <w:szCs w:val="24"/>
              </w:rPr>
              <w:t>108.406</w:t>
            </w:r>
          </w:p>
        </w:tc>
      </w:tr>
    </w:tbl>
    <w:p w:rsidR="00107AAE" w:rsidRDefault="000E20CC" w:rsidP="00107AAE">
      <w:pPr>
        <w:spacing w:line="360" w:lineRule="auto"/>
        <w:jc w:val="left"/>
        <w:rPr>
          <w:rFonts w:ascii="Times New Roman" w:hAnsi="Times New Roman" w:cs="Times New Roman" w:hint="eastAsia"/>
          <w:sz w:val="24"/>
          <w:szCs w:val="24"/>
        </w:rPr>
      </w:pPr>
      <w:r>
        <w:rPr>
          <w:rFonts w:ascii="Times New Roman" w:hAnsi="Times New Roman" w:cs="Times New Roman" w:hint="eastAsia"/>
          <w:sz w:val="24"/>
          <w:szCs w:val="24"/>
        </w:rPr>
        <w:t>Mortgage: 54,000</w:t>
      </w:r>
    </w:p>
    <w:p w:rsidR="000E20CC" w:rsidRDefault="000E20CC" w:rsidP="00107AAE">
      <w:pPr>
        <w:spacing w:line="360" w:lineRule="auto"/>
        <w:jc w:val="left"/>
        <w:rPr>
          <w:rFonts w:ascii="Times New Roman" w:hAnsi="Times New Roman" w:cs="Times New Roman" w:hint="eastAsia"/>
          <w:sz w:val="24"/>
          <w:szCs w:val="24"/>
        </w:rPr>
      </w:pPr>
      <w:r>
        <w:rPr>
          <w:rFonts w:ascii="Times New Roman" w:hAnsi="Times New Roman" w:cs="Times New Roman" w:hint="eastAsia"/>
          <w:sz w:val="24"/>
          <w:szCs w:val="24"/>
        </w:rPr>
        <w:t>Cash: 7,000</w:t>
      </w:r>
    </w:p>
    <w:p w:rsidR="000E20CC" w:rsidRDefault="000E20CC" w:rsidP="00107AAE">
      <w:pPr>
        <w:spacing w:line="360" w:lineRule="auto"/>
        <w:jc w:val="left"/>
        <w:rPr>
          <w:rFonts w:ascii="Times New Roman" w:hAnsi="Times New Roman" w:cs="Times New Roman" w:hint="eastAsia"/>
          <w:sz w:val="24"/>
          <w:szCs w:val="24"/>
        </w:rPr>
      </w:pPr>
      <w:r>
        <w:rPr>
          <w:rFonts w:ascii="Times New Roman" w:hAnsi="Times New Roman" w:cs="Times New Roman" w:hint="eastAsia"/>
          <w:sz w:val="24"/>
          <w:szCs w:val="24"/>
        </w:rPr>
        <w:t>(Common stock $250,000, dividend yield 3.0%)</w:t>
      </w:r>
    </w:p>
    <w:p w:rsidR="000E20CC" w:rsidRDefault="000E20CC" w:rsidP="000E20CC">
      <w:pPr>
        <w:spacing w:line="360" w:lineRule="auto"/>
        <w:ind w:firstLineChars="200" w:firstLine="480"/>
        <w:jc w:val="left"/>
        <w:rPr>
          <w:rFonts w:ascii="Times New Roman" w:hAnsi="Times New Roman" w:cs="Times New Roman" w:hint="eastAsia"/>
          <w:sz w:val="24"/>
          <w:szCs w:val="24"/>
        </w:rPr>
      </w:pPr>
      <w:r>
        <w:rPr>
          <w:rFonts w:ascii="Times New Roman" w:hAnsi="Times New Roman" w:cs="Times New Roman" w:hint="eastAsia"/>
          <w:sz w:val="24"/>
          <w:szCs w:val="24"/>
        </w:rPr>
        <w:t>IAC knew that it would be occasionally be necessary to transfer funds from the equity portion of the fund (at the bank) to the fixed-income portion (at the brokerage firm). It was important to keep the number and size of these transfer</w:t>
      </w:r>
      <w:r w:rsidR="009A566E">
        <w:rPr>
          <w:rFonts w:ascii="Times New Roman" w:hAnsi="Times New Roman" w:cs="Times New Roman" w:hint="eastAsia"/>
          <w:sz w:val="24"/>
          <w:szCs w:val="24"/>
        </w:rPr>
        <w:t>s</w:t>
      </w:r>
      <w:r>
        <w:rPr>
          <w:rFonts w:ascii="Times New Roman" w:hAnsi="Times New Roman" w:cs="Times New Roman" w:hint="eastAsia"/>
          <w:sz w:val="24"/>
          <w:szCs w:val="24"/>
        </w:rPr>
        <w:t xml:space="preserve"> to a minimum because of the importance of equity growth (and growth of dividends) to a growth-of-income objective. Because the cash receipts from the bonds and the cash </w:t>
      </w:r>
      <w:r>
        <w:rPr>
          <w:rFonts w:ascii="Times New Roman" w:hAnsi="Times New Roman" w:cs="Times New Roman" w:hint="eastAsia"/>
          <w:sz w:val="24"/>
          <w:szCs w:val="24"/>
        </w:rPr>
        <w:lastRenderedPageBreak/>
        <w:t xml:space="preserve">disbursements to the church treasurer were both known, it appeared possible to find an appropriate, if not an optimum, transfer policy for funds from </w:t>
      </w:r>
      <w:r w:rsidR="009A566E">
        <w:rPr>
          <w:rFonts w:ascii="Times New Roman" w:hAnsi="Times New Roman" w:cs="Times New Roman" w:hint="eastAsia"/>
          <w:sz w:val="24"/>
          <w:szCs w:val="24"/>
        </w:rPr>
        <w:t>the brokerage firm.</w:t>
      </w:r>
    </w:p>
    <w:p w:rsidR="009A566E" w:rsidRDefault="009A566E" w:rsidP="000E20CC">
      <w:pPr>
        <w:spacing w:line="360" w:lineRule="auto"/>
        <w:ind w:firstLineChars="200" w:firstLine="480"/>
        <w:jc w:val="left"/>
        <w:rPr>
          <w:rFonts w:ascii="Times New Roman" w:hAnsi="Times New Roman" w:cs="Times New Roman" w:hint="eastAsia"/>
          <w:sz w:val="24"/>
          <w:szCs w:val="24"/>
        </w:rPr>
      </w:pPr>
      <w:r>
        <w:rPr>
          <w:rFonts w:ascii="Times New Roman" w:hAnsi="Times New Roman" w:cs="Times New Roman" w:hint="eastAsia"/>
          <w:sz w:val="24"/>
          <w:szCs w:val="24"/>
        </w:rPr>
        <w:t xml:space="preserve">Second, and of greater concern to the IAC, was the </w:t>
      </w:r>
      <w:r>
        <w:rPr>
          <w:rFonts w:ascii="Times New Roman" w:hAnsi="Times New Roman" w:cs="Times New Roman"/>
          <w:sz w:val="24"/>
          <w:szCs w:val="24"/>
        </w:rPr>
        <w:t>“</w:t>
      </w:r>
      <w:r>
        <w:rPr>
          <w:rFonts w:ascii="Times New Roman" w:hAnsi="Times New Roman" w:cs="Times New Roman" w:hint="eastAsia"/>
          <w:sz w:val="24"/>
          <w:szCs w:val="24"/>
        </w:rPr>
        <w:t>lost income</w:t>
      </w:r>
      <w:r>
        <w:rPr>
          <w:rFonts w:ascii="Times New Roman" w:hAnsi="Times New Roman" w:cs="Times New Roman"/>
          <w:sz w:val="24"/>
          <w:szCs w:val="24"/>
        </w:rPr>
        <w:t>”</w:t>
      </w:r>
      <w:r>
        <w:rPr>
          <w:rFonts w:ascii="Times New Roman" w:hAnsi="Times New Roman" w:cs="Times New Roman" w:hint="eastAsia"/>
          <w:sz w:val="24"/>
          <w:szCs w:val="24"/>
        </w:rPr>
        <w:t xml:space="preserve"> from the $50,000 loaned to the minister. Although this interest </w:t>
      </w:r>
      <w:r>
        <w:rPr>
          <w:rFonts w:ascii="Times New Roman" w:hAnsi="Times New Roman" w:cs="Times New Roman"/>
          <w:sz w:val="24"/>
          <w:szCs w:val="24"/>
        </w:rPr>
        <w:t>c</w:t>
      </w:r>
      <w:r>
        <w:rPr>
          <w:rFonts w:ascii="Times New Roman" w:hAnsi="Times New Roman" w:cs="Times New Roman" w:hint="eastAsia"/>
          <w:sz w:val="24"/>
          <w:szCs w:val="24"/>
        </w:rPr>
        <w:t>ontinued to accrue, it was not currently payable and consequently could not be used to pay the bills. The 5% annual income growth rate meant that in 1992 the fund would be required to generate $60,196, and achieving this was going to require some advance planning.</w:t>
      </w:r>
    </w:p>
    <w:p w:rsidR="009A566E" w:rsidRDefault="009A566E" w:rsidP="000E20CC">
      <w:pPr>
        <w:spacing w:line="360" w:lineRule="auto"/>
        <w:ind w:firstLineChars="200" w:firstLine="480"/>
        <w:jc w:val="left"/>
        <w:rPr>
          <w:rFonts w:ascii="Times New Roman" w:hAnsi="Times New Roman" w:cs="Times New Roman" w:hint="eastAsia"/>
          <w:sz w:val="24"/>
          <w:szCs w:val="24"/>
        </w:rPr>
      </w:pPr>
    </w:p>
    <w:p w:rsidR="009A566E" w:rsidRDefault="009A566E" w:rsidP="000E20CC">
      <w:pPr>
        <w:spacing w:line="360" w:lineRule="auto"/>
        <w:ind w:firstLineChars="200" w:firstLine="480"/>
        <w:jc w:val="left"/>
        <w:rPr>
          <w:rFonts w:ascii="Times New Roman" w:hAnsi="Times New Roman" w:cs="Times New Roman" w:hint="eastAsia"/>
          <w:sz w:val="24"/>
          <w:szCs w:val="24"/>
        </w:rPr>
      </w:pPr>
    </w:p>
    <w:p w:rsidR="009A566E" w:rsidRPr="00AC7ACF" w:rsidRDefault="009A566E" w:rsidP="00AC7ACF">
      <w:pPr>
        <w:spacing w:line="360" w:lineRule="auto"/>
        <w:ind w:firstLineChars="200" w:firstLine="482"/>
        <w:jc w:val="left"/>
        <w:rPr>
          <w:rFonts w:ascii="Times New Roman" w:hAnsi="Times New Roman" w:cs="Times New Roman" w:hint="eastAsia"/>
          <w:b/>
          <w:sz w:val="24"/>
          <w:szCs w:val="24"/>
        </w:rPr>
      </w:pPr>
      <w:r w:rsidRPr="00AC7ACF">
        <w:rPr>
          <w:rFonts w:ascii="Times New Roman" w:hAnsi="Times New Roman" w:cs="Times New Roman" w:hint="eastAsia"/>
          <w:b/>
          <w:sz w:val="24"/>
          <w:szCs w:val="24"/>
        </w:rPr>
        <w:t>What instructions should be given to be the bank regarding the need for cash transfers, and how should the endowment fund be postured so as to generate the require $60,196 in 1992?</w:t>
      </w:r>
    </w:p>
    <w:p w:rsidR="009A566E" w:rsidRPr="00AC7ACF" w:rsidRDefault="008D2733" w:rsidP="00AC7ACF">
      <w:pPr>
        <w:spacing w:line="360" w:lineRule="auto"/>
        <w:ind w:firstLineChars="200" w:firstLine="482"/>
        <w:jc w:val="left"/>
        <w:rPr>
          <w:rFonts w:ascii="Times New Roman" w:hAnsi="Times New Roman" w:cs="Times New Roman"/>
          <w:b/>
          <w:sz w:val="24"/>
          <w:szCs w:val="24"/>
        </w:rPr>
      </w:pPr>
      <w:r w:rsidRPr="00AC7ACF">
        <w:rPr>
          <w:rFonts w:ascii="Times New Roman" w:hAnsi="Times New Roman" w:cs="Times New Roman"/>
          <w:b/>
          <w:color w:val="333333"/>
          <w:sz w:val="24"/>
          <w:szCs w:val="24"/>
        </w:rPr>
        <w:t>Then, in regards to this question, along with your financial calculations include an explanation for your answer.</w:t>
      </w:r>
    </w:p>
    <w:sectPr w:rsidR="009A566E" w:rsidRPr="00AC7A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F58" w:rsidRDefault="00C17F58" w:rsidP="000017B4">
      <w:r>
        <w:separator/>
      </w:r>
    </w:p>
  </w:endnote>
  <w:endnote w:type="continuationSeparator" w:id="1">
    <w:p w:rsidR="00C17F58" w:rsidRDefault="00C17F58" w:rsidP="000017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F58" w:rsidRDefault="00C17F58" w:rsidP="000017B4">
      <w:r>
        <w:separator/>
      </w:r>
    </w:p>
  </w:footnote>
  <w:footnote w:type="continuationSeparator" w:id="1">
    <w:p w:rsidR="00C17F58" w:rsidRDefault="00C17F58" w:rsidP="000017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17B4"/>
    <w:rsid w:val="000017B4"/>
    <w:rsid w:val="000E20CC"/>
    <w:rsid w:val="00107AAE"/>
    <w:rsid w:val="002068C3"/>
    <w:rsid w:val="00561AC8"/>
    <w:rsid w:val="00596FE2"/>
    <w:rsid w:val="008D2733"/>
    <w:rsid w:val="009A566E"/>
    <w:rsid w:val="00AC7ACF"/>
    <w:rsid w:val="00C17F58"/>
    <w:rsid w:val="00DB06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17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17B4"/>
    <w:rPr>
      <w:sz w:val="18"/>
      <w:szCs w:val="18"/>
    </w:rPr>
  </w:style>
  <w:style w:type="paragraph" w:styleId="a4">
    <w:name w:val="footer"/>
    <w:basedOn w:val="a"/>
    <w:link w:val="Char0"/>
    <w:uiPriority w:val="99"/>
    <w:semiHidden/>
    <w:unhideWhenUsed/>
    <w:rsid w:val="000017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17B4"/>
    <w:rPr>
      <w:sz w:val="18"/>
      <w:szCs w:val="18"/>
    </w:rPr>
  </w:style>
  <w:style w:type="table" w:styleId="a5">
    <w:name w:val="Table Grid"/>
    <w:basedOn w:val="a1"/>
    <w:uiPriority w:val="59"/>
    <w:rsid w:val="00107A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720</Words>
  <Characters>4104</Characters>
  <Application>Microsoft Office Word</Application>
  <DocSecurity>0</DocSecurity>
  <Lines>34</Lines>
  <Paragraphs>9</Paragraphs>
  <ScaleCrop>false</ScaleCrop>
  <Company>番茄花园</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5</cp:revision>
  <dcterms:created xsi:type="dcterms:W3CDTF">2009-11-18T22:41:00Z</dcterms:created>
  <dcterms:modified xsi:type="dcterms:W3CDTF">2009-11-18T23:54:00Z</dcterms:modified>
</cp:coreProperties>
</file>