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5581650" cy="10287000"/>
            <wp:effectExtent l="19050" t="0" r="0" b="0"/>
            <wp:docPr id="1" name="Picture 1" descr="http://cvg.cengagenow.com/ilrn/books/wrfm09h/images/ch15/wrfm09h_ch15_pr15_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vg.cengagenow.com/ilrn/books/wrfm09h/images/ch15/wrfm09h_ch15_pr15_4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lastRenderedPageBreak/>
        <w:t>Determine the following measures for 2008, rounding to one decimal place:</w: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1.  </w:t>
      </w:r>
      <w:r>
        <w:rPr>
          <w:rFonts w:ascii="Verdana" w:hAnsi="Verdana"/>
          <w:sz w:val="15"/>
          <w:szCs w:val="15"/>
        </w:rPr>
        <w:t>Working capital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  <w:t>$</w:t>
      </w:r>
      <w:r w:rsidR="00EF510E">
        <w:rPr>
          <w:rFonts w:ascii="Verdana" w:hAnsi="Verdana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1in;height:18pt" o:ole="">
            <v:imagedata r:id="rId5" o:title=""/>
          </v:shape>
          <w:control r:id="rId6" w:name="DefaultOcxName" w:shapeid="_x0000_i1102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06" type="#_x0000_t75" style="width:57pt;height:18pt" o:ole="">
            <v:imagedata r:id="rId7" o:title=""/>
          </v:shape>
          <w:control r:id="rId8" w:name="DefaultOcxName1" w:shapeid="_x0000_i1106"/>
        </w:object>
      </w:r>
      <w:r>
        <w:rPr>
          <w:rFonts w:ascii="Verdana" w:hAnsi="Verdana"/>
          <w:sz w:val="15"/>
          <w:szCs w:val="15"/>
        </w:rPr>
        <w:t xml:space="preserve"> </w: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2.  </w:t>
      </w:r>
      <w:r>
        <w:rPr>
          <w:rFonts w:ascii="Verdana" w:hAnsi="Verdana"/>
          <w:sz w:val="15"/>
          <w:szCs w:val="15"/>
        </w:rPr>
        <w:t>Current ratio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08" type="#_x0000_t75" style="width:1in;height:18pt" o:ole="">
            <v:imagedata r:id="rId9" o:title=""/>
          </v:shape>
          <w:control r:id="rId10" w:name="DefaultOcxName2" w:shapeid="_x0000_i1108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12" type="#_x0000_t75" style="width:57pt;height:18pt" o:ole="">
            <v:imagedata r:id="rId7" o:title=""/>
          </v:shape>
          <w:control r:id="rId11" w:name="DefaultOcxName3" w:shapeid="_x0000_i1112"/>
        </w:objec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3.  </w:t>
      </w:r>
      <w:r>
        <w:rPr>
          <w:rFonts w:ascii="Verdana" w:hAnsi="Verdana"/>
          <w:sz w:val="15"/>
          <w:szCs w:val="15"/>
        </w:rPr>
        <w:t>Quick ratio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14" type="#_x0000_t75" style="width:1in;height:18pt" o:ole="">
            <v:imagedata r:id="rId12" o:title=""/>
          </v:shape>
          <w:control r:id="rId13" w:name="DefaultOcxName4" w:shapeid="_x0000_i1114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18" type="#_x0000_t75" style="width:57pt;height:18pt" o:ole="">
            <v:imagedata r:id="rId7" o:title=""/>
          </v:shape>
          <w:control r:id="rId14" w:name="DefaultOcxName5" w:shapeid="_x0000_i1118"/>
        </w:objec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4.  </w:t>
      </w:r>
      <w:r>
        <w:rPr>
          <w:rFonts w:ascii="Verdana" w:hAnsi="Verdana"/>
          <w:sz w:val="15"/>
          <w:szCs w:val="15"/>
        </w:rPr>
        <w:t>Accounts receivable turnover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20" type="#_x0000_t75" style="width:1in;height:18pt" o:ole="">
            <v:imagedata r:id="rId15" o:title=""/>
          </v:shape>
          <w:control r:id="rId16" w:name="DefaultOcxName6" w:shapeid="_x0000_i1120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24" type="#_x0000_t75" style="width:57pt;height:18pt" o:ole="">
            <v:imagedata r:id="rId7" o:title=""/>
          </v:shape>
          <w:control r:id="rId17" w:name="DefaultOcxName7" w:shapeid="_x0000_i1124"/>
        </w:objec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5.  </w:t>
      </w:r>
      <w:r>
        <w:rPr>
          <w:rFonts w:ascii="Verdana" w:hAnsi="Verdana"/>
          <w:sz w:val="15"/>
          <w:szCs w:val="15"/>
        </w:rPr>
        <w:t>Number of days' sales in receivables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26" type="#_x0000_t75" style="width:1in;height:18pt" o:ole="">
            <v:imagedata r:id="rId18" o:title=""/>
          </v:shape>
          <w:control r:id="rId19" w:name="DefaultOcxName8" w:shapeid="_x0000_i1126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30" type="#_x0000_t75" style="width:57pt;height:18pt" o:ole="">
            <v:imagedata r:id="rId7" o:title=""/>
          </v:shape>
          <w:control r:id="rId20" w:name="DefaultOcxName9" w:shapeid="_x0000_i1130"/>
        </w:objec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6.  </w:t>
      </w:r>
      <w:r>
        <w:rPr>
          <w:rFonts w:ascii="Verdana" w:hAnsi="Verdana"/>
          <w:sz w:val="15"/>
          <w:szCs w:val="15"/>
        </w:rPr>
        <w:t>Inventory turnover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32" type="#_x0000_t75" style="width:1in;height:18pt" o:ole="">
            <v:imagedata r:id="rId21" o:title=""/>
          </v:shape>
          <w:control r:id="rId22" w:name="DefaultOcxName10" w:shapeid="_x0000_i1132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36" type="#_x0000_t75" style="width:57pt;height:18pt" o:ole="">
            <v:imagedata r:id="rId7" o:title=""/>
          </v:shape>
          <w:control r:id="rId23" w:name="DefaultOcxName11" w:shapeid="_x0000_i1136"/>
        </w:objec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7.  </w:t>
      </w:r>
      <w:r>
        <w:rPr>
          <w:rFonts w:ascii="Verdana" w:hAnsi="Verdana"/>
          <w:sz w:val="15"/>
          <w:szCs w:val="15"/>
        </w:rPr>
        <w:t>Number of days' sales in inventory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38" type="#_x0000_t75" style="width:1in;height:18pt" o:ole="">
            <v:imagedata r:id="rId24" o:title=""/>
          </v:shape>
          <w:control r:id="rId25" w:name="DefaultOcxName12" w:shapeid="_x0000_i1138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42" type="#_x0000_t75" style="width:57pt;height:18pt" o:ole="">
            <v:imagedata r:id="rId7" o:title=""/>
          </v:shape>
          <w:control r:id="rId26" w:name="DefaultOcxName13" w:shapeid="_x0000_i1142"/>
        </w:objec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8.  </w:t>
      </w:r>
      <w:r>
        <w:rPr>
          <w:rFonts w:ascii="Verdana" w:hAnsi="Verdana"/>
          <w:sz w:val="15"/>
          <w:szCs w:val="15"/>
        </w:rPr>
        <w:t>Ratio of fixed assets to long-term liabilities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44" type="#_x0000_t75" style="width:1in;height:18pt" o:ole="">
            <v:imagedata r:id="rId27" o:title=""/>
          </v:shape>
          <w:control r:id="rId28" w:name="DefaultOcxName14" w:shapeid="_x0000_i1144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48" type="#_x0000_t75" style="width:57pt;height:18pt" o:ole="">
            <v:imagedata r:id="rId7" o:title=""/>
          </v:shape>
          <w:control r:id="rId29" w:name="DefaultOcxName15" w:shapeid="_x0000_i1148"/>
        </w:objec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9.  </w:t>
      </w:r>
      <w:r>
        <w:rPr>
          <w:rFonts w:ascii="Verdana" w:hAnsi="Verdana"/>
          <w:sz w:val="15"/>
          <w:szCs w:val="15"/>
        </w:rPr>
        <w:t>Ratio of liabilities to stockholders' equity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50" type="#_x0000_t75" style="width:1in;height:18pt" o:ole="">
            <v:imagedata r:id="rId30" o:title=""/>
          </v:shape>
          <w:control r:id="rId31" w:name="DefaultOcxName16" w:shapeid="_x0000_i1150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54" type="#_x0000_t75" style="width:57pt;height:18pt" o:ole="">
            <v:imagedata r:id="rId7" o:title=""/>
          </v:shape>
          <w:control r:id="rId32" w:name="DefaultOcxName17" w:shapeid="_x0000_i1154"/>
        </w:objec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10.  </w:t>
      </w:r>
      <w:r>
        <w:rPr>
          <w:rFonts w:ascii="Verdana" w:hAnsi="Verdana"/>
          <w:sz w:val="15"/>
          <w:szCs w:val="15"/>
        </w:rPr>
        <w:t>Number of times interest charges earned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56" type="#_x0000_t75" style="width:1in;height:18pt" o:ole="">
            <v:imagedata r:id="rId33" o:title=""/>
          </v:shape>
          <w:control r:id="rId34" w:name="DefaultOcxName18" w:shapeid="_x0000_i1156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60" type="#_x0000_t75" style="width:57pt;height:18pt" o:ole="">
            <v:imagedata r:id="rId7" o:title=""/>
          </v:shape>
          <w:control r:id="rId35" w:name="DefaultOcxName19" w:shapeid="_x0000_i1160"/>
        </w:objec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11.  </w:t>
      </w:r>
      <w:r>
        <w:rPr>
          <w:rFonts w:ascii="Verdana" w:hAnsi="Verdana"/>
          <w:sz w:val="15"/>
          <w:szCs w:val="15"/>
        </w:rPr>
        <w:t>Number of times preferred dividends earned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62" type="#_x0000_t75" style="width:1in;height:18pt" o:ole="">
            <v:imagedata r:id="rId36" o:title=""/>
          </v:shape>
          <w:control r:id="rId37" w:name="DefaultOcxName20" w:shapeid="_x0000_i1162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66" type="#_x0000_t75" style="width:57pt;height:18pt" o:ole="">
            <v:imagedata r:id="rId7" o:title=""/>
          </v:shape>
          <w:control r:id="rId38" w:name="DefaultOcxName21" w:shapeid="_x0000_i1166"/>
        </w:objec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12.  </w:t>
      </w:r>
      <w:r>
        <w:rPr>
          <w:rFonts w:ascii="Verdana" w:hAnsi="Verdana"/>
          <w:sz w:val="15"/>
          <w:szCs w:val="15"/>
        </w:rPr>
        <w:t>Ratio of net sales to assets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68" type="#_x0000_t75" style="width:1in;height:18pt" o:ole="">
            <v:imagedata r:id="rId39" o:title=""/>
          </v:shape>
          <w:control r:id="rId40" w:name="DefaultOcxName22" w:shapeid="_x0000_i1168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72" type="#_x0000_t75" style="width:57pt;height:18pt" o:ole="">
            <v:imagedata r:id="rId7" o:title=""/>
          </v:shape>
          <w:control r:id="rId41" w:name="DefaultOcxName23" w:shapeid="_x0000_i1172"/>
        </w:objec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lastRenderedPageBreak/>
        <w:t>13.  </w:t>
      </w:r>
      <w:r>
        <w:rPr>
          <w:rFonts w:ascii="Verdana" w:hAnsi="Verdana"/>
          <w:sz w:val="15"/>
          <w:szCs w:val="15"/>
        </w:rPr>
        <w:t>Rate earned on total assets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74" type="#_x0000_t75" style="width:1in;height:18pt" o:ole="">
            <v:imagedata r:id="rId42" o:title=""/>
          </v:shape>
          <w:control r:id="rId43" w:name="DefaultOcxName24" w:shapeid="_x0000_i1174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78" type="#_x0000_t75" style="width:57pt;height:18pt" o:ole="">
            <v:imagedata r:id="rId7" o:title=""/>
          </v:shape>
          <w:control r:id="rId44" w:name="DefaultOcxName25" w:shapeid="_x0000_i1178"/>
        </w:object>
      </w:r>
      <w:r>
        <w:rPr>
          <w:rFonts w:ascii="Verdana" w:hAnsi="Verdana"/>
          <w:sz w:val="15"/>
          <w:szCs w:val="15"/>
        </w:rPr>
        <w:t>%</w: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14.  </w:t>
      </w:r>
      <w:r>
        <w:rPr>
          <w:rFonts w:ascii="Verdana" w:hAnsi="Verdana"/>
          <w:sz w:val="15"/>
          <w:szCs w:val="15"/>
        </w:rPr>
        <w:t xml:space="preserve">Rate earned on stockholders' equity 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80" type="#_x0000_t75" style="width:1in;height:18pt" o:ole="">
            <v:imagedata r:id="rId45" o:title=""/>
          </v:shape>
          <w:control r:id="rId46" w:name="DefaultOcxName26" w:shapeid="_x0000_i1180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84" type="#_x0000_t75" style="width:57pt;height:18pt" o:ole="">
            <v:imagedata r:id="rId7" o:title=""/>
          </v:shape>
          <w:control r:id="rId47" w:name="DefaultOcxName27" w:shapeid="_x0000_i1184"/>
        </w:object>
      </w:r>
      <w:r>
        <w:rPr>
          <w:rFonts w:ascii="Verdana" w:hAnsi="Verdana"/>
          <w:sz w:val="15"/>
          <w:szCs w:val="15"/>
        </w:rPr>
        <w:t>%</w: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15.  </w:t>
      </w:r>
      <w:r>
        <w:rPr>
          <w:rFonts w:ascii="Verdana" w:hAnsi="Verdana"/>
          <w:sz w:val="15"/>
          <w:szCs w:val="15"/>
        </w:rPr>
        <w:t>Rate earned on common stockholders' equity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86" type="#_x0000_t75" style="width:1in;height:18pt" o:ole="">
            <v:imagedata r:id="rId48" o:title=""/>
          </v:shape>
          <w:control r:id="rId49" w:name="DefaultOcxName28" w:shapeid="_x0000_i1186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90" type="#_x0000_t75" style="width:57pt;height:18pt" o:ole="">
            <v:imagedata r:id="rId7" o:title=""/>
          </v:shape>
          <w:control r:id="rId50" w:name="DefaultOcxName29" w:shapeid="_x0000_i1190"/>
        </w:object>
      </w:r>
      <w:r>
        <w:rPr>
          <w:rFonts w:ascii="Verdana" w:hAnsi="Verdana"/>
          <w:sz w:val="15"/>
          <w:szCs w:val="15"/>
        </w:rPr>
        <w:t>%</w: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16.  </w:t>
      </w:r>
      <w:r>
        <w:rPr>
          <w:rFonts w:ascii="Verdana" w:hAnsi="Verdana"/>
          <w:sz w:val="15"/>
          <w:szCs w:val="15"/>
        </w:rPr>
        <w:t>Earnings per share on common stock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  <w:t>$</w: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92" type="#_x0000_t75" style="width:1in;height:18pt" o:ole="">
            <v:imagedata r:id="rId51" o:title=""/>
          </v:shape>
          <w:control r:id="rId52" w:name="DefaultOcxName30" w:shapeid="_x0000_i1192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96" type="#_x0000_t75" style="width:57pt;height:18pt" o:ole="">
            <v:imagedata r:id="rId7" o:title=""/>
          </v:shape>
          <w:control r:id="rId53" w:name="DefaultOcxName31" w:shapeid="_x0000_i1196"/>
        </w:object>
      </w:r>
      <w:r>
        <w:rPr>
          <w:rFonts w:ascii="Verdana" w:hAnsi="Verdana"/>
          <w:sz w:val="15"/>
          <w:szCs w:val="15"/>
        </w:rPr>
        <w:t xml:space="preserve"> </w: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17.  </w:t>
      </w:r>
      <w:r>
        <w:rPr>
          <w:rFonts w:ascii="Verdana" w:hAnsi="Verdana"/>
          <w:sz w:val="15"/>
          <w:szCs w:val="15"/>
        </w:rPr>
        <w:t>Price-earnings ratio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198" type="#_x0000_t75" style="width:1in;height:18pt" o:ole="">
            <v:imagedata r:id="rId54" o:title=""/>
          </v:shape>
          <w:control r:id="rId55" w:name="DefaultOcxName32" w:shapeid="_x0000_i1198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202" type="#_x0000_t75" style="width:57pt;height:18pt" o:ole="">
            <v:imagedata r:id="rId7" o:title=""/>
          </v:shape>
          <w:control r:id="rId56" w:name="DefaultOcxName33" w:shapeid="_x0000_i1202"/>
        </w:objec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18.  </w:t>
      </w:r>
      <w:r>
        <w:rPr>
          <w:rFonts w:ascii="Verdana" w:hAnsi="Verdana"/>
          <w:sz w:val="15"/>
          <w:szCs w:val="15"/>
        </w:rPr>
        <w:t>Dividends per share of common stock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  <w:t>$</w: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204" type="#_x0000_t75" style="width:1in;height:18pt" o:ole="">
            <v:imagedata r:id="rId57" o:title=""/>
          </v:shape>
          <w:control r:id="rId58" w:name="DefaultOcxName34" w:shapeid="_x0000_i1204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208" type="#_x0000_t75" style="width:57pt;height:18pt" o:ole="">
            <v:imagedata r:id="rId7" o:title=""/>
          </v:shape>
          <w:control r:id="rId59" w:name="DefaultOcxName35" w:shapeid="_x0000_i1208"/>
        </w:object>
      </w:r>
      <w:r>
        <w:rPr>
          <w:rFonts w:ascii="Verdana" w:hAnsi="Verdana"/>
          <w:sz w:val="15"/>
          <w:szCs w:val="15"/>
        </w:rPr>
        <w:t xml:space="preserve"> </w:t>
      </w:r>
    </w:p>
    <w:p w:rsidR="001959E8" w:rsidRDefault="001959E8" w:rsidP="001959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19.  </w:t>
      </w:r>
      <w:r>
        <w:rPr>
          <w:rFonts w:ascii="Verdana" w:hAnsi="Verdana"/>
          <w:sz w:val="15"/>
          <w:szCs w:val="15"/>
        </w:rPr>
        <w:t>Dividend yield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210" type="#_x0000_t75" style="width:1in;height:18pt" o:ole="">
            <v:imagedata r:id="rId60" o:title=""/>
          </v:shape>
          <w:control r:id="rId61" w:name="DefaultOcxName36" w:shapeid="_x0000_i1210"/>
        </w:object>
      </w:r>
      <w:r w:rsidR="00EF510E">
        <w:rPr>
          <w:rFonts w:ascii="Verdana" w:hAnsi="Verdana"/>
          <w:sz w:val="15"/>
          <w:szCs w:val="15"/>
        </w:rPr>
        <w:object w:dxaOrig="225" w:dyaOrig="225">
          <v:shape id="_x0000_i1214" type="#_x0000_t75" style="width:57pt;height:18pt" o:ole="">
            <v:imagedata r:id="rId7" o:title=""/>
          </v:shape>
          <w:control r:id="rId62" w:name="DefaultOcxName37" w:shapeid="_x0000_i1214"/>
        </w:object>
      </w:r>
      <w:r>
        <w:rPr>
          <w:rFonts w:ascii="Verdana" w:hAnsi="Verdana"/>
          <w:sz w:val="15"/>
          <w:szCs w:val="15"/>
        </w:rPr>
        <w:t>%</w:t>
      </w:r>
    </w:p>
    <w:p w:rsidR="004159B5" w:rsidRDefault="00BC136F"/>
    <w:sectPr w:rsidR="004159B5" w:rsidSect="0000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9E8"/>
    <w:rsid w:val="000009C4"/>
    <w:rsid w:val="001959E8"/>
    <w:rsid w:val="004B5176"/>
    <w:rsid w:val="00851546"/>
    <w:rsid w:val="00A432E9"/>
    <w:rsid w:val="00BC136F"/>
    <w:rsid w:val="00D47C87"/>
    <w:rsid w:val="00E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4773">
                          <w:marLeft w:val="45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control" Target="activeX/activeX14.xml"/><Relationship Id="rId39" Type="http://schemas.openxmlformats.org/officeDocument/2006/relationships/image" Target="media/image14.wmf"/><Relationship Id="rId21" Type="http://schemas.openxmlformats.org/officeDocument/2006/relationships/image" Target="media/image8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47" Type="http://schemas.openxmlformats.org/officeDocument/2006/relationships/control" Target="activeX/activeX28.xml"/><Relationship Id="rId50" Type="http://schemas.openxmlformats.org/officeDocument/2006/relationships/control" Target="activeX/activeX30.xml"/><Relationship Id="rId55" Type="http://schemas.openxmlformats.org/officeDocument/2006/relationships/control" Target="activeX/activeX33.xml"/><Relationship Id="rId63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41" Type="http://schemas.openxmlformats.org/officeDocument/2006/relationships/control" Target="activeX/activeX24.xml"/><Relationship Id="rId54" Type="http://schemas.openxmlformats.org/officeDocument/2006/relationships/image" Target="media/image19.wmf"/><Relationship Id="rId62" Type="http://schemas.openxmlformats.org/officeDocument/2006/relationships/control" Target="activeX/activeX3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image" Target="media/image16.wmf"/><Relationship Id="rId53" Type="http://schemas.openxmlformats.org/officeDocument/2006/relationships/control" Target="activeX/activeX32.xml"/><Relationship Id="rId58" Type="http://schemas.openxmlformats.org/officeDocument/2006/relationships/control" Target="activeX/activeX35.xml"/><Relationship Id="rId5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image" Target="media/image13.wmf"/><Relationship Id="rId49" Type="http://schemas.openxmlformats.org/officeDocument/2006/relationships/control" Target="activeX/activeX29.xml"/><Relationship Id="rId57" Type="http://schemas.openxmlformats.org/officeDocument/2006/relationships/image" Target="media/image20.wmf"/><Relationship Id="rId61" Type="http://schemas.openxmlformats.org/officeDocument/2006/relationships/control" Target="activeX/activeX37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4" Type="http://schemas.openxmlformats.org/officeDocument/2006/relationships/control" Target="activeX/activeX26.xml"/><Relationship Id="rId52" Type="http://schemas.openxmlformats.org/officeDocument/2006/relationships/control" Target="activeX/activeX31.xml"/><Relationship Id="rId60" Type="http://schemas.openxmlformats.org/officeDocument/2006/relationships/image" Target="media/image21.wmf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20.xml"/><Relationship Id="rId43" Type="http://schemas.openxmlformats.org/officeDocument/2006/relationships/control" Target="activeX/activeX25.xml"/><Relationship Id="rId48" Type="http://schemas.openxmlformats.org/officeDocument/2006/relationships/image" Target="media/image17.wmf"/><Relationship Id="rId56" Type="http://schemas.openxmlformats.org/officeDocument/2006/relationships/control" Target="activeX/activeX34.xml"/><Relationship Id="rId64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image" Target="media/image1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image" Target="media/image12.wmf"/><Relationship Id="rId38" Type="http://schemas.openxmlformats.org/officeDocument/2006/relationships/control" Target="activeX/activeX22.xml"/><Relationship Id="rId46" Type="http://schemas.openxmlformats.org/officeDocument/2006/relationships/control" Target="activeX/activeX27.xml"/><Relationship Id="rId59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1838</Characters>
  <Application>Microsoft Office Word</Application>
  <DocSecurity>0</DocSecurity>
  <Lines>15</Lines>
  <Paragraphs>4</Paragraphs>
  <ScaleCrop>false</ScaleCrop>
  <Company> 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2009-11-06T00:05:00Z</dcterms:created>
  <dcterms:modified xsi:type="dcterms:W3CDTF">2009-11-06T00:05:00Z</dcterms:modified>
</cp:coreProperties>
</file>