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70"/>
        <w:gridCol w:w="90"/>
      </w:tblGrid>
      <w:tr w:rsidR="00140911" w:rsidRPr="00140911">
        <w:trPr>
          <w:gridAfter w:val="1"/>
          <w:tblCellSpacing w:w="0" w:type="dxa"/>
        </w:trPr>
        <w:tc>
          <w:tcPr>
            <w:tcW w:w="5000" w:type="pct"/>
            <w:hideMark/>
          </w:tcPr>
          <w:p w:rsidR="00140911" w:rsidRPr="00140911" w:rsidRDefault="00140911" w:rsidP="00140911">
            <w:pPr>
              <w:spacing w:after="15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xml:space="preserve">Stellar Stairs Co. of Poway designs and builds factory-made premium wooden stairs for homes. The manufactured stair components (spindles, risers, hangers, hand rails) permit installation of stairs of varying lengths and widths. All are of white oak wood. Its budgeted manufacturing overhead costs for the year 2009 are as follows. </w:t>
            </w:r>
          </w:p>
          <w:tbl>
            <w:tblPr>
              <w:tblW w:w="0" w:type="auto"/>
              <w:jc w:val="center"/>
              <w:tblCellSpacing w:w="0" w:type="dxa"/>
              <w:tblCellMar>
                <w:left w:w="0" w:type="dxa"/>
                <w:right w:w="0" w:type="dxa"/>
              </w:tblCellMar>
              <w:tblLook w:val="04A0"/>
            </w:tblPr>
            <w:tblGrid>
              <w:gridCol w:w="301"/>
              <w:gridCol w:w="8669"/>
              <w:gridCol w:w="300"/>
            </w:tblGrid>
            <w:tr w:rsidR="00140911" w:rsidRPr="00140911" w:rsidT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 name="Picture 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183"/>
                  </w:tblGrid>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 name="Picture 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40911" w:rsidRPr="00140911">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140911" w:rsidRPr="00140911">
                          <w:trPr>
                            <w:tblCellSpacing w:w="0" w:type="dxa"/>
                            <w:jc w:val="center"/>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6183"/>
                        </w:tblGrid>
                        <w:tr w:rsidR="00140911" w:rsidRPr="00140911">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6183"/>
                              </w:tblGrid>
                              <w:tr w:rsidR="00140911" w:rsidRPr="00140911">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4975"/>
                                      <w:gridCol w:w="1148"/>
                                    </w:tblGrid>
                                    <w:tr w:rsidR="00140911" w:rsidRPr="00140911">
                                      <w:trPr>
                                        <w:tblHeader/>
                                        <w:tblCellSpacing w:w="0" w:type="dxa"/>
                                      </w:trPr>
                                      <w:tc>
                                        <w:tcPr>
                                          <w:tcW w:w="0" w:type="auto"/>
                                          <w:tcBorders>
                                            <w:bottom w:val="single" w:sz="6" w:space="0" w:color="000000"/>
                                          </w:tcBorders>
                                          <w:vAlign w:val="bottom"/>
                                          <w:hideMark/>
                                        </w:tcPr>
                                        <w:p w:rsidR="00140911" w:rsidRPr="00140911" w:rsidRDefault="00140911" w:rsidP="00140911">
                                          <w:pPr>
                                            <w:spacing w:after="0" w:line="240" w:lineRule="auto"/>
                                            <w:jc w:val="center"/>
                                            <w:rPr>
                                              <w:rFonts w:ascii="Times New Roman" w:eastAsia="Times New Roman" w:hAnsi="Times New Roman" w:cs="Times New Roman"/>
                                              <w:b/>
                                              <w:bCs/>
                                              <w:color w:val="000000"/>
                                              <w:sz w:val="23"/>
                                              <w:szCs w:val="23"/>
                                            </w:rPr>
                                          </w:pPr>
                                          <w:r w:rsidRPr="00140911">
                                            <w:rPr>
                                              <w:rFonts w:ascii="Times New Roman" w:eastAsia="Times New Roman" w:hAnsi="Times New Roman" w:cs="Times New Roman"/>
                                              <w:b/>
                                              <w:bCs/>
                                              <w:color w:val="000000"/>
                                              <w:sz w:val="23"/>
                                              <w:szCs w:val="23"/>
                                            </w:rPr>
                                            <w:t>Overhead Cost Pools</w:t>
                                          </w:r>
                                        </w:p>
                                      </w:tc>
                                      <w:tc>
                                        <w:tcPr>
                                          <w:tcW w:w="0" w:type="auto"/>
                                          <w:tcBorders>
                                            <w:bottom w:val="single" w:sz="6" w:space="0" w:color="000000"/>
                                          </w:tcBorders>
                                          <w:tcMar>
                                            <w:top w:w="60" w:type="dxa"/>
                                            <w:left w:w="225" w:type="dxa"/>
                                            <w:bottom w:w="60" w:type="dxa"/>
                                            <w:right w:w="60" w:type="dxa"/>
                                          </w:tcMar>
                                          <w:vAlign w:val="bottom"/>
                                          <w:hideMark/>
                                        </w:tcPr>
                                        <w:p w:rsidR="00140911" w:rsidRPr="00140911" w:rsidRDefault="00140911" w:rsidP="00140911">
                                          <w:pPr>
                                            <w:spacing w:after="150" w:line="240" w:lineRule="auto"/>
                                            <w:jc w:val="right"/>
                                            <w:rPr>
                                              <w:rFonts w:ascii="Times New Roman" w:eastAsia="Times New Roman" w:hAnsi="Times New Roman" w:cs="Times New Roman"/>
                                              <w:b/>
                                              <w:bCs/>
                                              <w:color w:val="000000"/>
                                              <w:sz w:val="23"/>
                                              <w:szCs w:val="23"/>
                                            </w:rPr>
                                          </w:pPr>
                                          <w:r w:rsidRPr="00140911">
                                            <w:rPr>
                                              <w:rFonts w:ascii="Times New Roman" w:eastAsia="Times New Roman" w:hAnsi="Times New Roman" w:cs="Times New Roman"/>
                                              <w:b/>
                                              <w:bCs/>
                                              <w:color w:val="000000"/>
                                              <w:sz w:val="23"/>
                                              <w:szCs w:val="23"/>
                                            </w:rPr>
                                            <w:t>Amount</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Purchasing</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$ 57,000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Handling materials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82,000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Production (cutting, milling, finishing)</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210,000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Setting up machines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85,000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Inspecting</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90,000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Inventory control (raw materials and finished goods)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126,000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Utilities</w:t>
                                          </w:r>
                                        </w:p>
                                      </w:tc>
                                      <w:tc>
                                        <w:tcPr>
                                          <w:tcW w:w="0" w:type="auto"/>
                                          <w:tcBorders>
                                            <w:bottom w:val="single" w:sz="6" w:space="0" w:color="000000"/>
                                          </w:tcBorders>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180,000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Total budget overhead costs</w:t>
                                          </w:r>
                                        </w:p>
                                      </w:tc>
                                      <w:tc>
                                        <w:tcPr>
                                          <w:tcW w:w="0" w:type="auto"/>
                                          <w:tcBorders>
                                            <w:bottom w:val="double" w:sz="6" w:space="0" w:color="000000"/>
                                          </w:tcBorders>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$830,000</w:t>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jc w:val="center"/>
                          <w:rPr>
                            <w:rFonts w:ascii="Times New Roman" w:eastAsia="Times New Roman" w:hAnsi="Times New Roman" w:cs="Times New Roman"/>
                            <w:color w:val="000000"/>
                            <w:sz w:val="23"/>
                            <w:szCs w:val="23"/>
                          </w:rPr>
                        </w:pPr>
                      </w:p>
                    </w:tc>
                  </w:tr>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 name="Picture 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 name="Picture 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p w:rsidR="00140911" w:rsidRPr="00140911" w:rsidRDefault="00140911" w:rsidP="00140911">
            <w:pPr>
              <w:spacing w:after="15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For the last 4 years, Stellar Stairs Co. has been charging overhead to products on the basis of machine hours. For the year 2009, 100,000 machine hours are budgeted.</w:t>
            </w:r>
          </w:p>
          <w:p w:rsidR="00140911" w:rsidRPr="00140911" w:rsidRDefault="00140911" w:rsidP="00140911">
            <w:pPr>
              <w:spacing w:after="0" w:line="240" w:lineRule="auto"/>
              <w:rPr>
                <w:rFonts w:ascii="Times New Roman" w:eastAsia="Times New Roman" w:hAnsi="Times New Roman" w:cs="Times New Roman"/>
                <w:color w:val="000000"/>
                <w:sz w:val="23"/>
                <w:szCs w:val="23"/>
              </w:rPr>
            </w:pPr>
          </w:p>
          <w:p w:rsidR="00140911" w:rsidRPr="00140911" w:rsidRDefault="00140911" w:rsidP="00140911">
            <w:pPr>
              <w:spacing w:after="15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xml:space="preserve">Heather </w:t>
            </w:r>
            <w:proofErr w:type="spellStart"/>
            <w:r w:rsidRPr="00140911">
              <w:rPr>
                <w:rFonts w:ascii="Times New Roman" w:eastAsia="Times New Roman" w:hAnsi="Times New Roman" w:cs="Times New Roman"/>
                <w:color w:val="000000"/>
                <w:sz w:val="23"/>
                <w:szCs w:val="23"/>
              </w:rPr>
              <w:t>Fujar</w:t>
            </w:r>
            <w:proofErr w:type="spellEnd"/>
            <w:r w:rsidRPr="00140911">
              <w:rPr>
                <w:rFonts w:ascii="Times New Roman" w:eastAsia="Times New Roman" w:hAnsi="Times New Roman" w:cs="Times New Roman"/>
                <w:color w:val="000000"/>
                <w:sz w:val="23"/>
                <w:szCs w:val="23"/>
              </w:rPr>
              <w:t xml:space="preserve">, owner-manager of Stellar Stairs Co., recently directed her accountant, Lindsay Baker, to implement the activity-based costing system that she has repeatedly proposed. At Heather </w:t>
            </w:r>
            <w:proofErr w:type="spellStart"/>
            <w:r w:rsidRPr="00140911">
              <w:rPr>
                <w:rFonts w:ascii="Times New Roman" w:eastAsia="Times New Roman" w:hAnsi="Times New Roman" w:cs="Times New Roman"/>
                <w:color w:val="000000"/>
                <w:sz w:val="23"/>
                <w:szCs w:val="23"/>
              </w:rPr>
              <w:t>Fujar's</w:t>
            </w:r>
            <w:proofErr w:type="spellEnd"/>
            <w:r w:rsidRPr="00140911">
              <w:rPr>
                <w:rFonts w:ascii="Times New Roman" w:eastAsia="Times New Roman" w:hAnsi="Times New Roman" w:cs="Times New Roman"/>
                <w:color w:val="000000"/>
                <w:sz w:val="23"/>
                <w:szCs w:val="23"/>
              </w:rPr>
              <w:t xml:space="preserve"> request, Lindsay and the production foreman identify the following cost drivers and their usage for the previously budgeted overhead cost pools. </w:t>
            </w:r>
          </w:p>
          <w:tbl>
            <w:tblPr>
              <w:tblW w:w="0" w:type="auto"/>
              <w:jc w:val="center"/>
              <w:tblCellSpacing w:w="0" w:type="dxa"/>
              <w:tblCellMar>
                <w:left w:w="0" w:type="dxa"/>
                <w:right w:w="0" w:type="dxa"/>
              </w:tblCellMar>
              <w:tblLook w:val="04A0"/>
            </w:tblPr>
            <w:tblGrid>
              <w:gridCol w:w="301"/>
              <w:gridCol w:w="8669"/>
              <w:gridCol w:w="300"/>
            </w:tblGrid>
            <w:tr w:rsidR="00140911" w:rsidRPr="00140911" w:rsidT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 name="Picture 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669"/>
                  </w:tblGrid>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 name="Picture 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40911" w:rsidRPr="00140911">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140911" w:rsidRPr="00140911">
                          <w:trPr>
                            <w:tblCellSpacing w:w="0" w:type="dxa"/>
                            <w:jc w:val="center"/>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8669"/>
                        </w:tblGrid>
                        <w:tr w:rsidR="00140911" w:rsidRPr="00140911">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8669"/>
                              </w:tblGrid>
                              <w:tr w:rsidR="00140911" w:rsidRPr="00140911">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867"/>
                                      <w:gridCol w:w="2151"/>
                                      <w:gridCol w:w="2591"/>
                                    </w:tblGrid>
                                    <w:tr w:rsidR="00140911" w:rsidRPr="00140911">
                                      <w:trPr>
                                        <w:tblHeader/>
                                        <w:tblCellSpacing w:w="0" w:type="dxa"/>
                                      </w:trPr>
                                      <w:tc>
                                        <w:tcPr>
                                          <w:tcW w:w="0" w:type="auto"/>
                                          <w:tcBorders>
                                            <w:bottom w:val="single" w:sz="6" w:space="0" w:color="000000"/>
                                          </w:tcBorders>
                                          <w:vAlign w:val="bottom"/>
                                          <w:hideMark/>
                                        </w:tcPr>
                                        <w:p w:rsidR="00140911" w:rsidRPr="00140911" w:rsidRDefault="00140911" w:rsidP="00140911">
                                          <w:pPr>
                                            <w:spacing w:after="0" w:line="240" w:lineRule="auto"/>
                                            <w:jc w:val="center"/>
                                            <w:rPr>
                                              <w:rFonts w:ascii="Times New Roman" w:eastAsia="Times New Roman" w:hAnsi="Times New Roman" w:cs="Times New Roman"/>
                                              <w:b/>
                                              <w:bCs/>
                                              <w:color w:val="000000"/>
                                              <w:sz w:val="23"/>
                                              <w:szCs w:val="23"/>
                                            </w:rPr>
                                          </w:pPr>
                                          <w:r w:rsidRPr="00140911">
                                            <w:rPr>
                                              <w:rFonts w:ascii="Times New Roman" w:eastAsia="Times New Roman" w:hAnsi="Times New Roman" w:cs="Times New Roman"/>
                                              <w:b/>
                                              <w:bCs/>
                                              <w:color w:val="000000"/>
                                              <w:sz w:val="23"/>
                                              <w:szCs w:val="23"/>
                                            </w:rPr>
                                            <w:t>Activity Cost Pools</w:t>
                                          </w:r>
                                        </w:p>
                                      </w:tc>
                                      <w:tc>
                                        <w:tcPr>
                                          <w:tcW w:w="0" w:type="auto"/>
                                          <w:tcBorders>
                                            <w:bottom w:val="single" w:sz="6" w:space="0" w:color="000000"/>
                                          </w:tcBorders>
                                          <w:tcMar>
                                            <w:top w:w="60" w:type="dxa"/>
                                            <w:left w:w="225" w:type="dxa"/>
                                            <w:bottom w:w="60" w:type="dxa"/>
                                            <w:right w:w="60" w:type="dxa"/>
                                          </w:tcMar>
                                          <w:vAlign w:val="bottom"/>
                                          <w:hideMark/>
                                        </w:tcPr>
                                        <w:p w:rsidR="00140911" w:rsidRPr="00140911" w:rsidRDefault="00140911" w:rsidP="00140911">
                                          <w:pPr>
                                            <w:spacing w:after="0" w:line="240" w:lineRule="auto"/>
                                            <w:jc w:val="center"/>
                                            <w:rPr>
                                              <w:rFonts w:ascii="Times New Roman" w:eastAsia="Times New Roman" w:hAnsi="Times New Roman" w:cs="Times New Roman"/>
                                              <w:b/>
                                              <w:bCs/>
                                              <w:color w:val="000000"/>
                                              <w:sz w:val="23"/>
                                              <w:szCs w:val="23"/>
                                            </w:rPr>
                                          </w:pPr>
                                          <w:r w:rsidRPr="00140911">
                                            <w:rPr>
                                              <w:rFonts w:ascii="Times New Roman" w:eastAsia="Times New Roman" w:hAnsi="Times New Roman" w:cs="Times New Roman"/>
                                              <w:b/>
                                              <w:bCs/>
                                              <w:color w:val="000000"/>
                                              <w:sz w:val="23"/>
                                              <w:szCs w:val="23"/>
                                            </w:rPr>
                                            <w:t>Cost Drivers</w:t>
                                          </w:r>
                                        </w:p>
                                      </w:tc>
                                      <w:tc>
                                        <w:tcPr>
                                          <w:tcW w:w="0" w:type="auto"/>
                                          <w:tcBorders>
                                            <w:bottom w:val="single" w:sz="6" w:space="0" w:color="000000"/>
                                          </w:tcBorders>
                                          <w:tcMar>
                                            <w:top w:w="60" w:type="dxa"/>
                                            <w:left w:w="225" w:type="dxa"/>
                                            <w:bottom w:w="60" w:type="dxa"/>
                                            <w:right w:w="60" w:type="dxa"/>
                                          </w:tcMar>
                                          <w:vAlign w:val="bottom"/>
                                          <w:hideMark/>
                                        </w:tcPr>
                                        <w:p w:rsidR="00140911" w:rsidRPr="00140911" w:rsidRDefault="00140911" w:rsidP="00140911">
                                          <w:pPr>
                                            <w:spacing w:after="150" w:line="240" w:lineRule="auto"/>
                                            <w:jc w:val="center"/>
                                            <w:rPr>
                                              <w:rFonts w:ascii="Times New Roman" w:eastAsia="Times New Roman" w:hAnsi="Times New Roman" w:cs="Times New Roman"/>
                                              <w:b/>
                                              <w:bCs/>
                                              <w:color w:val="000000"/>
                                              <w:sz w:val="23"/>
                                              <w:szCs w:val="23"/>
                                            </w:rPr>
                                          </w:pPr>
                                          <w:r w:rsidRPr="00140911">
                                            <w:rPr>
                                              <w:rFonts w:ascii="Times New Roman" w:eastAsia="Times New Roman" w:hAnsi="Times New Roman" w:cs="Times New Roman"/>
                                              <w:b/>
                                              <w:bCs/>
                                              <w:color w:val="000000"/>
                                              <w:sz w:val="23"/>
                                              <w:szCs w:val="23"/>
                                            </w:rPr>
                                            <w:t>Expected Use of Cost Drivers</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Purchasing</w:t>
                                          </w:r>
                                        </w:p>
                                      </w:tc>
                                      <w:tc>
                                        <w:tcPr>
                                          <w:tcW w:w="0" w:type="auto"/>
                                          <w:tcMar>
                                            <w:top w:w="60" w:type="dxa"/>
                                            <w:left w:w="225" w:type="dxa"/>
                                            <w:bottom w:w="60" w:type="dxa"/>
                                            <w:right w:w="60" w:type="dxa"/>
                                          </w:tcMa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orders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center"/>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600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Handling materials</w:t>
                                          </w:r>
                                        </w:p>
                                      </w:tc>
                                      <w:tc>
                                        <w:tcPr>
                                          <w:tcW w:w="0" w:type="auto"/>
                                          <w:tcMar>
                                            <w:top w:w="60" w:type="dxa"/>
                                            <w:left w:w="225" w:type="dxa"/>
                                            <w:bottom w:w="60" w:type="dxa"/>
                                            <w:right w:w="60" w:type="dxa"/>
                                          </w:tcMa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moves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center"/>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8,000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Production (cutting, milling, finishing)</w:t>
                                          </w:r>
                                        </w:p>
                                      </w:tc>
                                      <w:tc>
                                        <w:tcPr>
                                          <w:tcW w:w="0" w:type="auto"/>
                                          <w:tcMar>
                                            <w:top w:w="60" w:type="dxa"/>
                                            <w:left w:w="225" w:type="dxa"/>
                                            <w:bottom w:w="60" w:type="dxa"/>
                                            <w:right w:w="60" w:type="dxa"/>
                                          </w:tcMa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Direct labor hours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center"/>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100,000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Setting up machines</w:t>
                                          </w:r>
                                        </w:p>
                                      </w:tc>
                                      <w:tc>
                                        <w:tcPr>
                                          <w:tcW w:w="0" w:type="auto"/>
                                          <w:tcMar>
                                            <w:top w:w="60" w:type="dxa"/>
                                            <w:left w:w="225" w:type="dxa"/>
                                            <w:bottom w:w="60" w:type="dxa"/>
                                            <w:right w:w="60" w:type="dxa"/>
                                          </w:tcMa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setups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center"/>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1,250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Inspecting</w:t>
                                          </w:r>
                                        </w:p>
                                      </w:tc>
                                      <w:tc>
                                        <w:tcPr>
                                          <w:tcW w:w="0" w:type="auto"/>
                                          <w:tcMar>
                                            <w:top w:w="60" w:type="dxa"/>
                                            <w:left w:w="225" w:type="dxa"/>
                                            <w:bottom w:w="60" w:type="dxa"/>
                                            <w:right w:w="60" w:type="dxa"/>
                                          </w:tcMa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inspections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center"/>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6,000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lastRenderedPageBreak/>
                                            <w:t>Inventory control (raw materials and finished goods)</w:t>
                                          </w:r>
                                        </w:p>
                                      </w:tc>
                                      <w:tc>
                                        <w:tcPr>
                                          <w:tcW w:w="0" w:type="auto"/>
                                          <w:tcMar>
                                            <w:top w:w="60" w:type="dxa"/>
                                            <w:left w:w="225" w:type="dxa"/>
                                            <w:bottom w:w="60" w:type="dxa"/>
                                            <w:right w:w="60" w:type="dxa"/>
                                          </w:tcMa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components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center"/>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168,000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Utilities</w:t>
                                          </w:r>
                                        </w:p>
                                      </w:tc>
                                      <w:tc>
                                        <w:tcPr>
                                          <w:tcW w:w="0" w:type="auto"/>
                                          <w:tcMar>
                                            <w:top w:w="60" w:type="dxa"/>
                                            <w:left w:w="225" w:type="dxa"/>
                                            <w:bottom w:w="60" w:type="dxa"/>
                                            <w:right w:w="60" w:type="dxa"/>
                                          </w:tcMa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Square feet occupied</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center"/>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90,000</w:t>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jc w:val="center"/>
                          <w:rPr>
                            <w:rFonts w:ascii="Times New Roman" w:eastAsia="Times New Roman" w:hAnsi="Times New Roman" w:cs="Times New Roman"/>
                            <w:color w:val="000000"/>
                            <w:sz w:val="23"/>
                            <w:szCs w:val="23"/>
                          </w:rPr>
                        </w:pPr>
                      </w:p>
                    </w:tc>
                  </w:tr>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7" name="Picture 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8" name="Picture 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p w:rsidR="00140911" w:rsidRPr="00140911" w:rsidRDefault="00140911" w:rsidP="00140911">
            <w:pPr>
              <w:spacing w:after="15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 xml:space="preserve">Jason Dion, sales manager, has received an order for 280 stairs from Community Builders, Inc., a large housing development contractor. At Jason's request, Lindsay prepares cost estimates for producing components for 280 stairs so Jason can submit a contract price per stair to Community Builders. She accumulates the following data for the production of 280 stairways. </w:t>
            </w:r>
          </w:p>
          <w:tbl>
            <w:tblPr>
              <w:tblW w:w="0" w:type="auto"/>
              <w:jc w:val="center"/>
              <w:tblCellSpacing w:w="0" w:type="dxa"/>
              <w:tblCellMar>
                <w:left w:w="0" w:type="dxa"/>
                <w:right w:w="0" w:type="dxa"/>
              </w:tblCellMar>
              <w:tblLook w:val="04A0"/>
            </w:tblPr>
            <w:tblGrid>
              <w:gridCol w:w="301"/>
              <w:gridCol w:w="8669"/>
              <w:gridCol w:w="300"/>
            </w:tblGrid>
            <w:tr w:rsidR="00140911" w:rsidRPr="00140911" w:rsidT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 name="Picture 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279"/>
                  </w:tblGrid>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 name="Picture 1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40911" w:rsidRPr="00140911">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140911" w:rsidRPr="00140911">
                          <w:trPr>
                            <w:tblCellSpacing w:w="0" w:type="dxa"/>
                            <w:jc w:val="center"/>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4279"/>
                        </w:tblGrid>
                        <w:tr w:rsidR="00140911" w:rsidRPr="00140911">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4279"/>
                              </w:tblGrid>
                              <w:tr w:rsidR="00140911" w:rsidRPr="00140911">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071"/>
                                      <w:gridCol w:w="1148"/>
                                    </w:tblGrid>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Direct materials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$103,600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Direct labor</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$112,000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Machine hours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14,500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Direct labor hours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5,000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purchase orders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60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material moves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800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machine setups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inspections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450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components</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16,000</w:t>
                                          </w:r>
                                        </w:p>
                                      </w:tc>
                                    </w:tr>
                                    <w:tr w:rsidR="00140911" w:rsidRP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Number of square feet occupied</w:t>
                                          </w:r>
                                        </w:p>
                                      </w:tc>
                                      <w:tc>
                                        <w:tcPr>
                                          <w:tcW w:w="0" w:type="auto"/>
                                          <w:tcMar>
                                            <w:top w:w="60" w:type="dxa"/>
                                            <w:left w:w="225" w:type="dxa"/>
                                            <w:bottom w:w="60" w:type="dxa"/>
                                            <w:right w:w="60" w:type="dxa"/>
                                          </w:tcMar>
                                          <w:hideMark/>
                                        </w:tcPr>
                                        <w:p w:rsidR="00140911" w:rsidRPr="00140911" w:rsidRDefault="00140911" w:rsidP="00140911">
                                          <w:pPr>
                                            <w:spacing w:after="150" w:line="240" w:lineRule="auto"/>
                                            <w:jc w:val="right"/>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8,000</w:t>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jc w:val="center"/>
                          <w:rPr>
                            <w:rFonts w:ascii="Times New Roman" w:eastAsia="Times New Roman" w:hAnsi="Times New Roman" w:cs="Times New Roman"/>
                            <w:color w:val="000000"/>
                            <w:sz w:val="23"/>
                            <w:szCs w:val="23"/>
                          </w:rPr>
                        </w:pPr>
                      </w:p>
                    </w:tc>
                  </w:tr>
                  <w:tr w:rsidR="00140911" w:rsidRPr="00140911">
                    <w:trPr>
                      <w:tblCellSpacing w:w="0" w:type="dxa"/>
                      <w:jc w:val="center"/>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 name="Picture 1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 name="Picture 1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b/>
                <w:bCs/>
                <w:color w:val="000000"/>
                <w:sz w:val="23"/>
                <w:szCs w:val="23"/>
              </w:rPr>
              <w:t>Hint: </w:t>
            </w:r>
            <w:r w:rsidRPr="00140911">
              <w:rPr>
                <w:rFonts w:ascii="Times New Roman" w:eastAsia="Times New Roman" w:hAnsi="Times New Roman" w:cs="Times New Roman"/>
                <w:color w:val="000000"/>
                <w:sz w:val="23"/>
                <w:szCs w:val="23"/>
              </w:rPr>
              <w:t xml:space="preserve"> </w:t>
            </w:r>
          </w:p>
          <w:p w:rsidR="00140911" w:rsidRPr="00140911" w:rsidRDefault="00140911" w:rsidP="00140911">
            <w:pPr>
              <w:spacing w:after="15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i/>
                <w:iCs/>
                <w:color w:val="000000"/>
                <w:sz w:val="23"/>
                <w:szCs w:val="23"/>
              </w:rPr>
              <w:t>Assign overhead costs using traditional costing and ABC; compare results.</w:t>
            </w:r>
          </w:p>
        </w:tc>
      </w:tr>
      <w:tr w:rsidR="00140911" w:rsidRPr="00140911">
        <w:trPr>
          <w:tblCellSpacing w:w="0" w:type="dxa"/>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3" name="Picture 1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4" name="Picture 1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140911" w:rsidRPr="00140911" w:rsidRDefault="00140911" w:rsidP="00140911">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480"/>
      </w:tblGrid>
      <w:tr w:rsidR="00140911" w:rsidRPr="00140911">
        <w:trPr>
          <w:tblCellSpacing w:w="0" w:type="dxa"/>
        </w:trPr>
        <w:tc>
          <w:tcPr>
            <w:tcW w:w="0" w:type="auto"/>
            <w:vAlign w:val="center"/>
            <w:hideMark/>
          </w:tcPr>
          <w:p w:rsidR="00140911" w:rsidRPr="00140911" w:rsidRDefault="00140911" w:rsidP="00140911">
            <w:pPr>
              <w:spacing w:after="150" w:line="240" w:lineRule="auto"/>
              <w:divId w:val="550770313"/>
              <w:rPr>
                <w:rFonts w:ascii="Arial" w:eastAsia="Times New Roman" w:hAnsi="Arial" w:cs="Arial"/>
                <w:b/>
                <w:bCs/>
                <w:color w:val="000000"/>
                <w:sz w:val="27"/>
                <w:szCs w:val="27"/>
              </w:rPr>
            </w:pPr>
            <w:r w:rsidRPr="00140911">
              <w:rPr>
                <w:rFonts w:ascii="Arial" w:eastAsia="Times New Roman" w:hAnsi="Arial" w:cs="Arial"/>
                <w:b/>
                <w:bCs/>
                <w:color w:val="000000"/>
                <w:sz w:val="27"/>
                <w:szCs w:val="27"/>
              </w:rPr>
              <w:t>Instructions</w:t>
            </w:r>
          </w:p>
          <w:tbl>
            <w:tblPr>
              <w:tblW w:w="5000" w:type="pct"/>
              <w:tblCellSpacing w:w="0" w:type="dxa"/>
              <w:tblCellMar>
                <w:left w:w="0" w:type="dxa"/>
                <w:right w:w="0" w:type="dxa"/>
              </w:tblCellMar>
              <w:tblLook w:val="04A0"/>
            </w:tblPr>
            <w:tblGrid>
              <w:gridCol w:w="300"/>
              <w:gridCol w:w="9060"/>
            </w:tblGrid>
            <w:tr w:rsidR="00140911" w:rsidRPr="00140911" w:rsidTr="00140911">
              <w:trPr>
                <w:tblCellSpacing w:w="0" w:type="dxa"/>
              </w:trPr>
              <w:tc>
                <w:tcPr>
                  <w:tcW w:w="0" w:type="auto"/>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5" name="Picture 1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676"/>
                  </w:tblGrid>
                  <w:tr w:rsidR="00140911" w:rsidRPr="00140911">
                    <w:trPr>
                      <w:tblCellSpacing w:w="0" w:type="dxa"/>
                    </w:trPr>
                    <w:tc>
                      <w:tcPr>
                        <w:tcW w:w="0" w:type="auto"/>
                        <w:noWrap/>
                        <w:hideMark/>
                      </w:tcPr>
                      <w:p w:rsidR="00140911" w:rsidRPr="00140911" w:rsidRDefault="00140911" w:rsidP="00140911">
                        <w:pPr>
                          <w:spacing w:after="0" w:line="240" w:lineRule="auto"/>
                          <w:rPr>
                            <w:rFonts w:ascii="Times New Roman" w:eastAsia="Times New Roman" w:hAnsi="Times New Roman" w:cs="Times New Roman"/>
                            <w:b/>
                            <w:bCs/>
                            <w:color w:val="000000"/>
                            <w:sz w:val="23"/>
                            <w:szCs w:val="23"/>
                          </w:rPr>
                        </w:pPr>
                        <w:r w:rsidRPr="00140911">
                          <w:rPr>
                            <w:rFonts w:ascii="Times New Roman" w:eastAsia="Times New Roman" w:hAnsi="Times New Roman" w:cs="Times New Roman"/>
                            <w:b/>
                            <w:bCs/>
                            <w:color w:val="000000"/>
                            <w:sz w:val="23"/>
                            <w:szCs w:val="23"/>
                          </w:rPr>
                          <w:t>(a)  </w:t>
                        </w:r>
                      </w:p>
                    </w:tc>
                    <w:tc>
                      <w:tcPr>
                        <w:tcW w:w="5000" w:type="pct"/>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Compute the predetermined overhead rate using traditional costing with machine hours as the basis.</w:t>
                        </w:r>
                      </w:p>
                    </w:tc>
                  </w:tr>
                  <w:tr w:rsidR="00140911" w:rsidRPr="00140911">
                    <w:trPr>
                      <w:tblCellSpacing w:w="0" w:type="dxa"/>
                    </w:trPr>
                    <w:tc>
                      <w:tcPr>
                        <w:tcW w:w="0" w:type="auto"/>
                        <w:gridSpan w:val="2"/>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6" name="Picture 1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140911" w:rsidRPr="00140911">
                    <w:trPr>
                      <w:tblCellSpacing w:w="0" w:type="dxa"/>
                    </w:trPr>
                    <w:tc>
                      <w:tcPr>
                        <w:tcW w:w="0" w:type="auto"/>
                        <w:noWrap/>
                        <w:hideMark/>
                      </w:tcPr>
                      <w:p w:rsidR="00140911" w:rsidRPr="00140911" w:rsidRDefault="00140911" w:rsidP="00140911">
                        <w:pPr>
                          <w:spacing w:after="0" w:line="240" w:lineRule="auto"/>
                          <w:rPr>
                            <w:rFonts w:ascii="Times New Roman" w:eastAsia="Times New Roman" w:hAnsi="Times New Roman" w:cs="Times New Roman"/>
                            <w:b/>
                            <w:bCs/>
                            <w:color w:val="000000"/>
                            <w:sz w:val="23"/>
                            <w:szCs w:val="23"/>
                          </w:rPr>
                        </w:pPr>
                      </w:p>
                    </w:tc>
                    <w:tc>
                      <w:tcPr>
                        <w:tcW w:w="5000" w:type="pct"/>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r w:rsidR="00140911" w:rsidRPr="00140911">
                    <w:trPr>
                      <w:tblCellSpacing w:w="0" w:type="dxa"/>
                    </w:trPr>
                    <w:tc>
                      <w:tcPr>
                        <w:tcW w:w="0" w:type="auto"/>
                        <w:gridSpan w:val="2"/>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 name="Picture 2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140911" w:rsidRPr="00140911">
                    <w:trPr>
                      <w:tblCellSpacing w:w="0" w:type="dxa"/>
                    </w:trPr>
                    <w:tc>
                      <w:tcPr>
                        <w:tcW w:w="0" w:type="auto"/>
                        <w:noWrap/>
                        <w:hideMark/>
                      </w:tcPr>
                      <w:p w:rsidR="00140911" w:rsidRPr="00140911" w:rsidRDefault="00140911" w:rsidP="00140911">
                        <w:pPr>
                          <w:spacing w:after="0" w:line="240" w:lineRule="auto"/>
                          <w:rPr>
                            <w:rFonts w:ascii="Times New Roman" w:eastAsia="Times New Roman" w:hAnsi="Times New Roman" w:cs="Times New Roman"/>
                            <w:b/>
                            <w:bCs/>
                            <w:color w:val="000000"/>
                            <w:sz w:val="23"/>
                            <w:szCs w:val="23"/>
                          </w:rPr>
                        </w:pPr>
                        <w:r w:rsidRPr="00140911">
                          <w:rPr>
                            <w:rFonts w:ascii="Times New Roman" w:eastAsia="Times New Roman" w:hAnsi="Times New Roman" w:cs="Times New Roman"/>
                            <w:b/>
                            <w:bCs/>
                            <w:color w:val="000000"/>
                            <w:sz w:val="23"/>
                            <w:szCs w:val="23"/>
                          </w:rPr>
                          <w:t>(c)  </w:t>
                        </w:r>
                      </w:p>
                    </w:tc>
                    <w:tc>
                      <w:tcPr>
                        <w:tcW w:w="5000" w:type="pct"/>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sidRPr="00140911">
                          <w:rPr>
                            <w:rFonts w:ascii="Times New Roman" w:eastAsia="Times New Roman" w:hAnsi="Times New Roman" w:cs="Times New Roman"/>
                            <w:color w:val="000000"/>
                            <w:sz w:val="23"/>
                            <w:szCs w:val="23"/>
                          </w:rPr>
                          <w:t>What is the manufacturing cost per stairway under the proposed activity-based costing? (Prepare all of the necessary schedules.)</w:t>
                        </w:r>
                      </w:p>
                      <w:tbl>
                        <w:tblPr>
                          <w:tblW w:w="5000" w:type="pct"/>
                          <w:tblCellSpacing w:w="0" w:type="dxa"/>
                          <w:tblCellMar>
                            <w:left w:w="0" w:type="dxa"/>
                            <w:right w:w="0" w:type="dxa"/>
                          </w:tblCellMar>
                          <w:tblLook w:val="04A0"/>
                        </w:tblPr>
                        <w:tblGrid>
                          <w:gridCol w:w="8676"/>
                        </w:tblGrid>
                        <w:tr w:rsidR="00140911" w:rsidRPr="00140911">
                          <w:trPr>
                            <w:tblCellSpacing w:w="0" w:type="dxa"/>
                          </w:trPr>
                          <w:tc>
                            <w:tcPr>
                              <w:tcW w:w="5000" w:type="pct"/>
                              <w:vAlign w:val="center"/>
                              <w:hideMark/>
                            </w:tcPr>
                            <w:tbl>
                              <w:tblPr>
                                <w:tblW w:w="2500" w:type="pct"/>
                                <w:tblCellSpacing w:w="0" w:type="dxa"/>
                                <w:tblCellMar>
                                  <w:left w:w="0" w:type="dxa"/>
                                  <w:right w:w="0" w:type="dxa"/>
                                </w:tblCellMar>
                                <w:tblLook w:val="04A0"/>
                              </w:tblPr>
                              <w:tblGrid>
                                <w:gridCol w:w="4338"/>
                              </w:tblGrid>
                              <w:tr w:rsidR="00140911" w:rsidRPr="00140911">
                                <w:trPr>
                                  <w:tblCellSpacing w:w="0" w:type="dxa"/>
                                </w:trPr>
                                <w:tc>
                                  <w:tcPr>
                                    <w:tcW w:w="0" w:type="auto"/>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 name="Picture 2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140911" w:rsidRPr="00140911" w:rsidRDefault="00140911" w:rsidP="00140911">
                              <w:pPr>
                                <w:spacing w:after="0" w:line="240" w:lineRule="auto"/>
                                <w:rPr>
                                  <w:rFonts w:ascii="Times New Roman" w:eastAsia="Times New Roman" w:hAnsi="Times New Roman" w:cs="Times New Roman"/>
                                  <w:vanish/>
                                  <w:color w:val="000000"/>
                                  <w:sz w:val="23"/>
                                  <w:szCs w:val="23"/>
                                </w:rPr>
                              </w:pPr>
                            </w:p>
                            <w:tbl>
                              <w:tblPr>
                                <w:tblW w:w="2500" w:type="pct"/>
                                <w:tblCellSpacing w:w="0" w:type="dxa"/>
                                <w:tblCellMar>
                                  <w:left w:w="0" w:type="dxa"/>
                                  <w:right w:w="0" w:type="dxa"/>
                                </w:tblCellMar>
                                <w:tblLook w:val="04A0"/>
                              </w:tblPr>
                              <w:tblGrid>
                                <w:gridCol w:w="4338"/>
                              </w:tblGrid>
                              <w:tr w:rsidR="00140911" w:rsidRPr="00140911">
                                <w:trPr>
                                  <w:tblCellSpacing w:w="0" w:type="dxa"/>
                                </w:trPr>
                                <w:tc>
                                  <w:tcPr>
                                    <w:tcW w:w="5000" w:type="pct"/>
                                    <w:shd w:val="clear" w:color="auto" w:fill="00ADEF"/>
                                    <w:vAlign w:val="center"/>
                                    <w:hideMark/>
                                  </w:tcPr>
                                  <w:p w:rsidR="00140911" w:rsidRPr="00140911" w:rsidRDefault="00140911" w:rsidP="0014091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
                                          <wp:effectExtent l="0" t="0" r="0" b="0"/>
                                          <wp:docPr id="23" name="Picture 2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1865/common/art/pixe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0911" w:rsidRPr="00140911">
                                <w:trPr>
                                  <w:tblCellSpacing w:w="0" w:type="dxa"/>
                                </w:trPr>
                                <w:tc>
                                  <w:tcPr>
                                    <w:tcW w:w="5000" w:type="pct"/>
                                    <w:vAlign w:val="center"/>
                                    <w:hideMark/>
                                  </w:tcPr>
                                  <w:tbl>
                                    <w:tblPr>
                                      <w:tblW w:w="5000" w:type="pct"/>
                                      <w:tblCellSpacing w:w="0" w:type="dxa"/>
                                      <w:shd w:val="clear" w:color="auto" w:fill="FFFFFF"/>
                                      <w:tblCellMar>
                                        <w:top w:w="150" w:type="dxa"/>
                                        <w:left w:w="150" w:type="dxa"/>
                                        <w:bottom w:w="150" w:type="dxa"/>
                                        <w:right w:w="150" w:type="dxa"/>
                                      </w:tblCellMar>
                                      <w:tblLook w:val="04A0"/>
                                    </w:tblPr>
                                    <w:tblGrid>
                                      <w:gridCol w:w="4338"/>
                                    </w:tblGrid>
                                    <w:tr w:rsidR="00140911" w:rsidRPr="00140911">
                                      <w:trPr>
                                        <w:tblCellSpacing w:w="0" w:type="dxa"/>
                                      </w:trPr>
                                      <w:tc>
                                        <w:tcPr>
                                          <w:tcW w:w="0" w:type="auto"/>
                                          <w:shd w:val="clear" w:color="auto" w:fill="FFFFFF"/>
                                          <w:vAlign w:val="center"/>
                                          <w:hideMark/>
                                        </w:tcPr>
                                        <w:p w:rsidR="00140911" w:rsidRPr="00140911" w:rsidRDefault="00140911" w:rsidP="00140911">
                                          <w:pPr>
                                            <w:spacing w:after="0" w:line="240" w:lineRule="auto"/>
                                            <w:rPr>
                                              <w:rFonts w:ascii="Times New Roman" w:eastAsia="Times New Roman" w:hAnsi="Times New Roman" w:cs="Times New Roman"/>
                                              <w:color w:val="00ADEF"/>
                                              <w:sz w:val="23"/>
                                              <w:szCs w:val="23"/>
                                            </w:rPr>
                                          </w:pP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after="0" w:line="240" w:lineRule="auto"/>
                    <w:rPr>
                      <w:rFonts w:ascii="Times New Roman" w:eastAsia="Times New Roman" w:hAnsi="Times New Roman" w:cs="Times New Roman"/>
                      <w:color w:val="000000"/>
                      <w:sz w:val="23"/>
                      <w:szCs w:val="23"/>
                    </w:rPr>
                  </w:pPr>
                </w:p>
              </w:tc>
            </w:tr>
          </w:tbl>
          <w:p w:rsidR="00140911" w:rsidRPr="00140911" w:rsidRDefault="00140911" w:rsidP="00140911">
            <w:pPr>
              <w:spacing w:before="100" w:beforeAutospacing="1" w:after="100" w:afterAutospacing="1" w:line="240" w:lineRule="auto"/>
              <w:rPr>
                <w:rFonts w:ascii="Times New Roman" w:eastAsia="Times New Roman" w:hAnsi="Times New Roman" w:cs="Times New Roman"/>
                <w:color w:val="000000"/>
                <w:sz w:val="23"/>
                <w:szCs w:val="23"/>
              </w:rPr>
            </w:pPr>
          </w:p>
        </w:tc>
      </w:tr>
    </w:tbl>
    <w:p w:rsidR="007E6CFD" w:rsidRDefault="007E6CFD"/>
    <w:sectPr w:rsidR="007E6CFD" w:rsidSect="007E6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911"/>
    <w:rsid w:val="00140911"/>
    <w:rsid w:val="007E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mar">
    <w:name w:val="xrefmar"/>
    <w:basedOn w:val="DefaultParagraphFont"/>
    <w:rsid w:val="00140911"/>
  </w:style>
  <w:style w:type="paragraph" w:styleId="BalloonText">
    <w:name w:val="Balloon Text"/>
    <w:basedOn w:val="Normal"/>
    <w:link w:val="BalloonTextChar"/>
    <w:uiPriority w:val="99"/>
    <w:semiHidden/>
    <w:unhideWhenUsed/>
    <w:rsid w:val="00140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564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4510558">
          <w:marLeft w:val="0"/>
          <w:marRight w:val="0"/>
          <w:marTop w:val="0"/>
          <w:marBottom w:val="0"/>
          <w:divBdr>
            <w:top w:val="none" w:sz="0" w:space="0" w:color="auto"/>
            <w:left w:val="none" w:sz="0" w:space="0" w:color="auto"/>
            <w:bottom w:val="none" w:sz="0" w:space="0" w:color="auto"/>
            <w:right w:val="none" w:sz="0" w:space="0" w:color="auto"/>
          </w:divBdr>
          <w:divsChild>
            <w:div w:id="570312486">
              <w:marLeft w:val="0"/>
              <w:marRight w:val="0"/>
              <w:marTop w:val="0"/>
              <w:marBottom w:val="0"/>
              <w:divBdr>
                <w:top w:val="none" w:sz="0" w:space="0" w:color="auto"/>
                <w:left w:val="none" w:sz="0" w:space="0" w:color="auto"/>
                <w:bottom w:val="none" w:sz="0" w:space="0" w:color="auto"/>
                <w:right w:val="none" w:sz="0" w:space="0" w:color="auto"/>
              </w:divBdr>
            </w:div>
            <w:div w:id="627852988">
              <w:marLeft w:val="0"/>
              <w:marRight w:val="0"/>
              <w:marTop w:val="0"/>
              <w:marBottom w:val="0"/>
              <w:divBdr>
                <w:top w:val="none" w:sz="0" w:space="0" w:color="auto"/>
                <w:left w:val="none" w:sz="0" w:space="0" w:color="auto"/>
                <w:bottom w:val="none" w:sz="0" w:space="0" w:color="auto"/>
                <w:right w:val="none" w:sz="0" w:space="0" w:color="auto"/>
              </w:divBdr>
            </w:div>
            <w:div w:id="873152037">
              <w:marLeft w:val="0"/>
              <w:marRight w:val="0"/>
              <w:marTop w:val="0"/>
              <w:marBottom w:val="0"/>
              <w:divBdr>
                <w:top w:val="none" w:sz="0" w:space="0" w:color="auto"/>
                <w:left w:val="none" w:sz="0" w:space="0" w:color="auto"/>
                <w:bottom w:val="none" w:sz="0" w:space="0" w:color="auto"/>
                <w:right w:val="none" w:sz="0" w:space="0" w:color="auto"/>
              </w:divBdr>
            </w:div>
            <w:div w:id="724643747">
              <w:marLeft w:val="0"/>
              <w:marRight w:val="0"/>
              <w:marTop w:val="0"/>
              <w:marBottom w:val="0"/>
              <w:divBdr>
                <w:top w:val="none" w:sz="0" w:space="0" w:color="auto"/>
                <w:left w:val="none" w:sz="0" w:space="0" w:color="auto"/>
                <w:bottom w:val="none" w:sz="0" w:space="0" w:color="auto"/>
                <w:right w:val="none" w:sz="0" w:space="0" w:color="auto"/>
              </w:divBdr>
            </w:div>
            <w:div w:id="315379781">
              <w:marLeft w:val="0"/>
              <w:marRight w:val="0"/>
              <w:marTop w:val="0"/>
              <w:marBottom w:val="0"/>
              <w:divBdr>
                <w:top w:val="none" w:sz="0" w:space="0" w:color="auto"/>
                <w:left w:val="none" w:sz="0" w:space="0" w:color="auto"/>
                <w:bottom w:val="none" w:sz="0" w:space="0" w:color="auto"/>
                <w:right w:val="none" w:sz="0" w:space="0" w:color="auto"/>
              </w:divBdr>
            </w:div>
            <w:div w:id="2144998668">
              <w:marLeft w:val="0"/>
              <w:marRight w:val="0"/>
              <w:marTop w:val="0"/>
              <w:marBottom w:val="0"/>
              <w:divBdr>
                <w:top w:val="none" w:sz="0" w:space="0" w:color="auto"/>
                <w:left w:val="none" w:sz="0" w:space="0" w:color="auto"/>
                <w:bottom w:val="none" w:sz="0" w:space="0" w:color="auto"/>
                <w:right w:val="none" w:sz="0" w:space="0" w:color="auto"/>
              </w:divBdr>
            </w:div>
            <w:div w:id="121466584">
              <w:marLeft w:val="0"/>
              <w:marRight w:val="0"/>
              <w:marTop w:val="0"/>
              <w:marBottom w:val="0"/>
              <w:divBdr>
                <w:top w:val="none" w:sz="0" w:space="0" w:color="auto"/>
                <w:left w:val="none" w:sz="0" w:space="0" w:color="auto"/>
                <w:bottom w:val="none" w:sz="0" w:space="0" w:color="auto"/>
                <w:right w:val="none" w:sz="0" w:space="0" w:color="auto"/>
              </w:divBdr>
            </w:div>
            <w:div w:id="214703550">
              <w:marLeft w:val="0"/>
              <w:marRight w:val="0"/>
              <w:marTop w:val="0"/>
              <w:marBottom w:val="0"/>
              <w:divBdr>
                <w:top w:val="none" w:sz="0" w:space="0" w:color="auto"/>
                <w:left w:val="none" w:sz="0" w:space="0" w:color="auto"/>
                <w:bottom w:val="none" w:sz="0" w:space="0" w:color="auto"/>
                <w:right w:val="none" w:sz="0" w:space="0" w:color="auto"/>
              </w:divBdr>
            </w:div>
            <w:div w:id="553583024">
              <w:marLeft w:val="0"/>
              <w:marRight w:val="0"/>
              <w:marTop w:val="0"/>
              <w:marBottom w:val="0"/>
              <w:divBdr>
                <w:top w:val="none" w:sz="0" w:space="0" w:color="auto"/>
                <w:left w:val="none" w:sz="0" w:space="0" w:color="auto"/>
                <w:bottom w:val="none" w:sz="0" w:space="0" w:color="auto"/>
                <w:right w:val="none" w:sz="0" w:space="0" w:color="auto"/>
              </w:divBdr>
            </w:div>
            <w:div w:id="1391688685">
              <w:marLeft w:val="0"/>
              <w:marRight w:val="0"/>
              <w:marTop w:val="0"/>
              <w:marBottom w:val="0"/>
              <w:divBdr>
                <w:top w:val="none" w:sz="0" w:space="0" w:color="auto"/>
                <w:left w:val="none" w:sz="0" w:space="0" w:color="auto"/>
                <w:bottom w:val="none" w:sz="0" w:space="0" w:color="auto"/>
                <w:right w:val="none" w:sz="0" w:space="0" w:color="auto"/>
              </w:divBdr>
            </w:div>
            <w:div w:id="1803575277">
              <w:marLeft w:val="0"/>
              <w:marRight w:val="0"/>
              <w:marTop w:val="0"/>
              <w:marBottom w:val="0"/>
              <w:divBdr>
                <w:top w:val="none" w:sz="0" w:space="0" w:color="auto"/>
                <w:left w:val="none" w:sz="0" w:space="0" w:color="auto"/>
                <w:bottom w:val="none" w:sz="0" w:space="0" w:color="auto"/>
                <w:right w:val="none" w:sz="0" w:space="0" w:color="auto"/>
              </w:divBdr>
            </w:div>
            <w:div w:id="568418236">
              <w:marLeft w:val="0"/>
              <w:marRight w:val="0"/>
              <w:marTop w:val="0"/>
              <w:marBottom w:val="0"/>
              <w:divBdr>
                <w:top w:val="none" w:sz="0" w:space="0" w:color="auto"/>
                <w:left w:val="none" w:sz="0" w:space="0" w:color="auto"/>
                <w:bottom w:val="none" w:sz="0" w:space="0" w:color="auto"/>
                <w:right w:val="none" w:sz="0" w:space="0" w:color="auto"/>
              </w:divBdr>
            </w:div>
            <w:div w:id="1240360714">
              <w:marLeft w:val="0"/>
              <w:marRight w:val="0"/>
              <w:marTop w:val="0"/>
              <w:marBottom w:val="0"/>
              <w:divBdr>
                <w:top w:val="none" w:sz="0" w:space="0" w:color="auto"/>
                <w:left w:val="none" w:sz="0" w:space="0" w:color="auto"/>
                <w:bottom w:val="none" w:sz="0" w:space="0" w:color="auto"/>
                <w:right w:val="none" w:sz="0" w:space="0" w:color="auto"/>
              </w:divBdr>
            </w:div>
            <w:div w:id="584996286">
              <w:marLeft w:val="0"/>
              <w:marRight w:val="0"/>
              <w:marTop w:val="0"/>
              <w:marBottom w:val="0"/>
              <w:divBdr>
                <w:top w:val="none" w:sz="0" w:space="0" w:color="auto"/>
                <w:left w:val="none" w:sz="0" w:space="0" w:color="auto"/>
                <w:bottom w:val="none" w:sz="0" w:space="0" w:color="auto"/>
                <w:right w:val="none" w:sz="0" w:space="0" w:color="auto"/>
              </w:divBdr>
            </w:div>
            <w:div w:id="1925675690">
              <w:marLeft w:val="0"/>
              <w:marRight w:val="0"/>
              <w:marTop w:val="0"/>
              <w:marBottom w:val="0"/>
              <w:divBdr>
                <w:top w:val="none" w:sz="0" w:space="0" w:color="auto"/>
                <w:left w:val="none" w:sz="0" w:space="0" w:color="auto"/>
                <w:bottom w:val="none" w:sz="0" w:space="0" w:color="auto"/>
                <w:right w:val="none" w:sz="0" w:space="0" w:color="auto"/>
              </w:divBdr>
            </w:div>
            <w:div w:id="1827092642">
              <w:marLeft w:val="0"/>
              <w:marRight w:val="0"/>
              <w:marTop w:val="0"/>
              <w:marBottom w:val="0"/>
              <w:divBdr>
                <w:top w:val="none" w:sz="0" w:space="0" w:color="auto"/>
                <w:left w:val="none" w:sz="0" w:space="0" w:color="auto"/>
                <w:bottom w:val="none" w:sz="0" w:space="0" w:color="auto"/>
                <w:right w:val="none" w:sz="0" w:space="0" w:color="auto"/>
              </w:divBdr>
            </w:div>
            <w:div w:id="981815515">
              <w:marLeft w:val="0"/>
              <w:marRight w:val="0"/>
              <w:marTop w:val="0"/>
              <w:marBottom w:val="0"/>
              <w:divBdr>
                <w:top w:val="none" w:sz="0" w:space="0" w:color="auto"/>
                <w:left w:val="none" w:sz="0" w:space="0" w:color="auto"/>
                <w:bottom w:val="none" w:sz="0" w:space="0" w:color="auto"/>
                <w:right w:val="none" w:sz="0" w:space="0" w:color="auto"/>
              </w:divBdr>
            </w:div>
            <w:div w:id="264308363">
              <w:marLeft w:val="0"/>
              <w:marRight w:val="0"/>
              <w:marTop w:val="0"/>
              <w:marBottom w:val="0"/>
              <w:divBdr>
                <w:top w:val="none" w:sz="0" w:space="0" w:color="auto"/>
                <w:left w:val="none" w:sz="0" w:space="0" w:color="auto"/>
                <w:bottom w:val="none" w:sz="0" w:space="0" w:color="auto"/>
                <w:right w:val="none" w:sz="0" w:space="0" w:color="auto"/>
              </w:divBdr>
            </w:div>
          </w:divsChild>
        </w:div>
        <w:div w:id="351152923">
          <w:marLeft w:val="0"/>
          <w:marRight w:val="0"/>
          <w:marTop w:val="0"/>
          <w:marBottom w:val="0"/>
          <w:divBdr>
            <w:top w:val="none" w:sz="0" w:space="0" w:color="auto"/>
            <w:left w:val="none" w:sz="0" w:space="0" w:color="auto"/>
            <w:bottom w:val="none" w:sz="0" w:space="0" w:color="auto"/>
            <w:right w:val="none" w:sz="0" w:space="0" w:color="auto"/>
          </w:divBdr>
        </w:div>
        <w:div w:id="1553417634">
          <w:marLeft w:val="0"/>
          <w:marRight w:val="0"/>
          <w:marTop w:val="0"/>
          <w:marBottom w:val="0"/>
          <w:divBdr>
            <w:top w:val="none" w:sz="0" w:space="0" w:color="auto"/>
            <w:left w:val="none" w:sz="0" w:space="0" w:color="auto"/>
            <w:bottom w:val="none" w:sz="0" w:space="0" w:color="auto"/>
            <w:right w:val="none" w:sz="0" w:space="0" w:color="auto"/>
          </w:divBdr>
          <w:divsChild>
            <w:div w:id="1375737156">
              <w:marLeft w:val="0"/>
              <w:marRight w:val="0"/>
              <w:marTop w:val="0"/>
              <w:marBottom w:val="0"/>
              <w:divBdr>
                <w:top w:val="none" w:sz="0" w:space="0" w:color="auto"/>
                <w:left w:val="none" w:sz="0" w:space="0" w:color="auto"/>
                <w:bottom w:val="none" w:sz="0" w:space="0" w:color="auto"/>
                <w:right w:val="none" w:sz="0" w:space="0" w:color="auto"/>
              </w:divBdr>
            </w:div>
            <w:div w:id="1454669402">
              <w:marLeft w:val="0"/>
              <w:marRight w:val="0"/>
              <w:marTop w:val="0"/>
              <w:marBottom w:val="0"/>
              <w:divBdr>
                <w:top w:val="none" w:sz="0" w:space="0" w:color="auto"/>
                <w:left w:val="none" w:sz="0" w:space="0" w:color="auto"/>
                <w:bottom w:val="none" w:sz="0" w:space="0" w:color="auto"/>
                <w:right w:val="none" w:sz="0" w:space="0" w:color="auto"/>
              </w:divBdr>
            </w:div>
            <w:div w:id="1576546863">
              <w:marLeft w:val="0"/>
              <w:marRight w:val="0"/>
              <w:marTop w:val="0"/>
              <w:marBottom w:val="0"/>
              <w:divBdr>
                <w:top w:val="none" w:sz="0" w:space="0" w:color="auto"/>
                <w:left w:val="none" w:sz="0" w:space="0" w:color="auto"/>
                <w:bottom w:val="none" w:sz="0" w:space="0" w:color="auto"/>
                <w:right w:val="none" w:sz="0" w:space="0" w:color="auto"/>
              </w:divBdr>
            </w:div>
            <w:div w:id="1012613754">
              <w:marLeft w:val="0"/>
              <w:marRight w:val="0"/>
              <w:marTop w:val="0"/>
              <w:marBottom w:val="0"/>
              <w:divBdr>
                <w:top w:val="none" w:sz="0" w:space="0" w:color="auto"/>
                <w:left w:val="none" w:sz="0" w:space="0" w:color="auto"/>
                <w:bottom w:val="none" w:sz="0" w:space="0" w:color="auto"/>
                <w:right w:val="none" w:sz="0" w:space="0" w:color="auto"/>
              </w:divBdr>
            </w:div>
            <w:div w:id="1543400619">
              <w:marLeft w:val="0"/>
              <w:marRight w:val="0"/>
              <w:marTop w:val="0"/>
              <w:marBottom w:val="0"/>
              <w:divBdr>
                <w:top w:val="none" w:sz="0" w:space="0" w:color="auto"/>
                <w:left w:val="none" w:sz="0" w:space="0" w:color="auto"/>
                <w:bottom w:val="none" w:sz="0" w:space="0" w:color="auto"/>
                <w:right w:val="none" w:sz="0" w:space="0" w:color="auto"/>
              </w:divBdr>
            </w:div>
            <w:div w:id="1998802380">
              <w:marLeft w:val="0"/>
              <w:marRight w:val="0"/>
              <w:marTop w:val="0"/>
              <w:marBottom w:val="0"/>
              <w:divBdr>
                <w:top w:val="none" w:sz="0" w:space="0" w:color="auto"/>
                <w:left w:val="none" w:sz="0" w:space="0" w:color="auto"/>
                <w:bottom w:val="none" w:sz="0" w:space="0" w:color="auto"/>
                <w:right w:val="none" w:sz="0" w:space="0" w:color="auto"/>
              </w:divBdr>
            </w:div>
            <w:div w:id="451363206">
              <w:marLeft w:val="0"/>
              <w:marRight w:val="0"/>
              <w:marTop w:val="0"/>
              <w:marBottom w:val="0"/>
              <w:divBdr>
                <w:top w:val="none" w:sz="0" w:space="0" w:color="auto"/>
                <w:left w:val="none" w:sz="0" w:space="0" w:color="auto"/>
                <w:bottom w:val="none" w:sz="0" w:space="0" w:color="auto"/>
                <w:right w:val="none" w:sz="0" w:space="0" w:color="auto"/>
              </w:divBdr>
            </w:div>
            <w:div w:id="1555386840">
              <w:marLeft w:val="0"/>
              <w:marRight w:val="0"/>
              <w:marTop w:val="0"/>
              <w:marBottom w:val="0"/>
              <w:divBdr>
                <w:top w:val="none" w:sz="0" w:space="0" w:color="auto"/>
                <w:left w:val="none" w:sz="0" w:space="0" w:color="auto"/>
                <w:bottom w:val="none" w:sz="0" w:space="0" w:color="auto"/>
                <w:right w:val="none" w:sz="0" w:space="0" w:color="auto"/>
              </w:divBdr>
            </w:div>
            <w:div w:id="2109692455">
              <w:marLeft w:val="0"/>
              <w:marRight w:val="0"/>
              <w:marTop w:val="0"/>
              <w:marBottom w:val="0"/>
              <w:divBdr>
                <w:top w:val="none" w:sz="0" w:space="0" w:color="auto"/>
                <w:left w:val="none" w:sz="0" w:space="0" w:color="auto"/>
                <w:bottom w:val="none" w:sz="0" w:space="0" w:color="auto"/>
                <w:right w:val="none" w:sz="0" w:space="0" w:color="auto"/>
              </w:divBdr>
            </w:div>
            <w:div w:id="870916664">
              <w:marLeft w:val="0"/>
              <w:marRight w:val="0"/>
              <w:marTop w:val="0"/>
              <w:marBottom w:val="0"/>
              <w:divBdr>
                <w:top w:val="none" w:sz="0" w:space="0" w:color="auto"/>
                <w:left w:val="none" w:sz="0" w:space="0" w:color="auto"/>
                <w:bottom w:val="none" w:sz="0" w:space="0" w:color="auto"/>
                <w:right w:val="none" w:sz="0" w:space="0" w:color="auto"/>
              </w:divBdr>
            </w:div>
            <w:div w:id="1291323881">
              <w:marLeft w:val="0"/>
              <w:marRight w:val="0"/>
              <w:marTop w:val="0"/>
              <w:marBottom w:val="0"/>
              <w:divBdr>
                <w:top w:val="none" w:sz="0" w:space="0" w:color="auto"/>
                <w:left w:val="none" w:sz="0" w:space="0" w:color="auto"/>
                <w:bottom w:val="none" w:sz="0" w:space="0" w:color="auto"/>
                <w:right w:val="none" w:sz="0" w:space="0" w:color="auto"/>
              </w:divBdr>
            </w:div>
            <w:div w:id="879826057">
              <w:marLeft w:val="0"/>
              <w:marRight w:val="0"/>
              <w:marTop w:val="0"/>
              <w:marBottom w:val="0"/>
              <w:divBdr>
                <w:top w:val="none" w:sz="0" w:space="0" w:color="auto"/>
                <w:left w:val="none" w:sz="0" w:space="0" w:color="auto"/>
                <w:bottom w:val="none" w:sz="0" w:space="0" w:color="auto"/>
                <w:right w:val="none" w:sz="0" w:space="0" w:color="auto"/>
              </w:divBdr>
            </w:div>
            <w:div w:id="1647126602">
              <w:marLeft w:val="0"/>
              <w:marRight w:val="0"/>
              <w:marTop w:val="0"/>
              <w:marBottom w:val="0"/>
              <w:divBdr>
                <w:top w:val="none" w:sz="0" w:space="0" w:color="auto"/>
                <w:left w:val="none" w:sz="0" w:space="0" w:color="auto"/>
                <w:bottom w:val="none" w:sz="0" w:space="0" w:color="auto"/>
                <w:right w:val="none" w:sz="0" w:space="0" w:color="auto"/>
              </w:divBdr>
            </w:div>
            <w:div w:id="1095320237">
              <w:marLeft w:val="0"/>
              <w:marRight w:val="0"/>
              <w:marTop w:val="0"/>
              <w:marBottom w:val="0"/>
              <w:divBdr>
                <w:top w:val="none" w:sz="0" w:space="0" w:color="auto"/>
                <w:left w:val="none" w:sz="0" w:space="0" w:color="auto"/>
                <w:bottom w:val="none" w:sz="0" w:space="0" w:color="auto"/>
                <w:right w:val="none" w:sz="0" w:space="0" w:color="auto"/>
              </w:divBdr>
            </w:div>
            <w:div w:id="1931622101">
              <w:marLeft w:val="0"/>
              <w:marRight w:val="0"/>
              <w:marTop w:val="0"/>
              <w:marBottom w:val="0"/>
              <w:divBdr>
                <w:top w:val="none" w:sz="0" w:space="0" w:color="auto"/>
                <w:left w:val="none" w:sz="0" w:space="0" w:color="auto"/>
                <w:bottom w:val="none" w:sz="0" w:space="0" w:color="auto"/>
                <w:right w:val="none" w:sz="0" w:space="0" w:color="auto"/>
              </w:divBdr>
            </w:div>
            <w:div w:id="872689925">
              <w:marLeft w:val="0"/>
              <w:marRight w:val="0"/>
              <w:marTop w:val="0"/>
              <w:marBottom w:val="0"/>
              <w:divBdr>
                <w:top w:val="none" w:sz="0" w:space="0" w:color="auto"/>
                <w:left w:val="none" w:sz="0" w:space="0" w:color="auto"/>
                <w:bottom w:val="none" w:sz="0" w:space="0" w:color="auto"/>
                <w:right w:val="none" w:sz="0" w:space="0" w:color="auto"/>
              </w:divBdr>
            </w:div>
            <w:div w:id="532839002">
              <w:marLeft w:val="0"/>
              <w:marRight w:val="0"/>
              <w:marTop w:val="0"/>
              <w:marBottom w:val="0"/>
              <w:divBdr>
                <w:top w:val="none" w:sz="0" w:space="0" w:color="auto"/>
                <w:left w:val="none" w:sz="0" w:space="0" w:color="auto"/>
                <w:bottom w:val="none" w:sz="0" w:space="0" w:color="auto"/>
                <w:right w:val="none" w:sz="0" w:space="0" w:color="auto"/>
              </w:divBdr>
            </w:div>
            <w:div w:id="1830167768">
              <w:marLeft w:val="0"/>
              <w:marRight w:val="0"/>
              <w:marTop w:val="0"/>
              <w:marBottom w:val="0"/>
              <w:divBdr>
                <w:top w:val="none" w:sz="0" w:space="0" w:color="auto"/>
                <w:left w:val="none" w:sz="0" w:space="0" w:color="auto"/>
                <w:bottom w:val="none" w:sz="0" w:space="0" w:color="auto"/>
                <w:right w:val="none" w:sz="0" w:space="0" w:color="auto"/>
              </w:divBdr>
            </w:div>
            <w:div w:id="54012059">
              <w:marLeft w:val="0"/>
              <w:marRight w:val="0"/>
              <w:marTop w:val="0"/>
              <w:marBottom w:val="0"/>
              <w:divBdr>
                <w:top w:val="none" w:sz="0" w:space="0" w:color="auto"/>
                <w:left w:val="none" w:sz="0" w:space="0" w:color="auto"/>
                <w:bottom w:val="none" w:sz="0" w:space="0" w:color="auto"/>
                <w:right w:val="none" w:sz="0" w:space="0" w:color="auto"/>
              </w:divBdr>
            </w:div>
            <w:div w:id="1400984562">
              <w:marLeft w:val="0"/>
              <w:marRight w:val="0"/>
              <w:marTop w:val="0"/>
              <w:marBottom w:val="0"/>
              <w:divBdr>
                <w:top w:val="none" w:sz="0" w:space="0" w:color="auto"/>
                <w:left w:val="none" w:sz="0" w:space="0" w:color="auto"/>
                <w:bottom w:val="none" w:sz="0" w:space="0" w:color="auto"/>
                <w:right w:val="none" w:sz="0" w:space="0" w:color="auto"/>
              </w:divBdr>
            </w:div>
            <w:div w:id="31269794">
              <w:marLeft w:val="0"/>
              <w:marRight w:val="0"/>
              <w:marTop w:val="0"/>
              <w:marBottom w:val="0"/>
              <w:divBdr>
                <w:top w:val="none" w:sz="0" w:space="0" w:color="auto"/>
                <w:left w:val="none" w:sz="0" w:space="0" w:color="auto"/>
                <w:bottom w:val="none" w:sz="0" w:space="0" w:color="auto"/>
                <w:right w:val="none" w:sz="0" w:space="0" w:color="auto"/>
              </w:divBdr>
            </w:div>
            <w:div w:id="54012802">
              <w:marLeft w:val="0"/>
              <w:marRight w:val="0"/>
              <w:marTop w:val="0"/>
              <w:marBottom w:val="0"/>
              <w:divBdr>
                <w:top w:val="none" w:sz="0" w:space="0" w:color="auto"/>
                <w:left w:val="none" w:sz="0" w:space="0" w:color="auto"/>
                <w:bottom w:val="none" w:sz="0" w:space="0" w:color="auto"/>
                <w:right w:val="none" w:sz="0" w:space="0" w:color="auto"/>
              </w:divBdr>
            </w:div>
            <w:div w:id="654337954">
              <w:marLeft w:val="0"/>
              <w:marRight w:val="0"/>
              <w:marTop w:val="0"/>
              <w:marBottom w:val="0"/>
              <w:divBdr>
                <w:top w:val="none" w:sz="0" w:space="0" w:color="auto"/>
                <w:left w:val="none" w:sz="0" w:space="0" w:color="auto"/>
                <w:bottom w:val="none" w:sz="0" w:space="0" w:color="auto"/>
                <w:right w:val="none" w:sz="0" w:space="0" w:color="auto"/>
              </w:divBdr>
            </w:div>
            <w:div w:id="1582760485">
              <w:marLeft w:val="0"/>
              <w:marRight w:val="0"/>
              <w:marTop w:val="0"/>
              <w:marBottom w:val="0"/>
              <w:divBdr>
                <w:top w:val="none" w:sz="0" w:space="0" w:color="auto"/>
                <w:left w:val="none" w:sz="0" w:space="0" w:color="auto"/>
                <w:bottom w:val="none" w:sz="0" w:space="0" w:color="auto"/>
                <w:right w:val="none" w:sz="0" w:space="0" w:color="auto"/>
              </w:divBdr>
            </w:div>
          </w:divsChild>
        </w:div>
        <w:div w:id="490413217">
          <w:marLeft w:val="0"/>
          <w:marRight w:val="0"/>
          <w:marTop w:val="0"/>
          <w:marBottom w:val="0"/>
          <w:divBdr>
            <w:top w:val="none" w:sz="0" w:space="0" w:color="auto"/>
            <w:left w:val="none" w:sz="0" w:space="0" w:color="auto"/>
            <w:bottom w:val="none" w:sz="0" w:space="0" w:color="auto"/>
            <w:right w:val="none" w:sz="0" w:space="0" w:color="auto"/>
          </w:divBdr>
          <w:divsChild>
            <w:div w:id="1876041864">
              <w:marLeft w:val="0"/>
              <w:marRight w:val="0"/>
              <w:marTop w:val="0"/>
              <w:marBottom w:val="0"/>
              <w:divBdr>
                <w:top w:val="none" w:sz="0" w:space="0" w:color="auto"/>
                <w:left w:val="none" w:sz="0" w:space="0" w:color="auto"/>
                <w:bottom w:val="none" w:sz="0" w:space="0" w:color="auto"/>
                <w:right w:val="none" w:sz="0" w:space="0" w:color="auto"/>
              </w:divBdr>
            </w:div>
            <w:div w:id="191114631">
              <w:marLeft w:val="0"/>
              <w:marRight w:val="0"/>
              <w:marTop w:val="0"/>
              <w:marBottom w:val="0"/>
              <w:divBdr>
                <w:top w:val="none" w:sz="0" w:space="0" w:color="auto"/>
                <w:left w:val="none" w:sz="0" w:space="0" w:color="auto"/>
                <w:bottom w:val="none" w:sz="0" w:space="0" w:color="auto"/>
                <w:right w:val="none" w:sz="0" w:space="0" w:color="auto"/>
              </w:divBdr>
            </w:div>
            <w:div w:id="754666154">
              <w:marLeft w:val="0"/>
              <w:marRight w:val="0"/>
              <w:marTop w:val="0"/>
              <w:marBottom w:val="0"/>
              <w:divBdr>
                <w:top w:val="none" w:sz="0" w:space="0" w:color="auto"/>
                <w:left w:val="none" w:sz="0" w:space="0" w:color="auto"/>
                <w:bottom w:val="none" w:sz="0" w:space="0" w:color="auto"/>
                <w:right w:val="none" w:sz="0" w:space="0" w:color="auto"/>
              </w:divBdr>
            </w:div>
            <w:div w:id="1746878776">
              <w:marLeft w:val="0"/>
              <w:marRight w:val="0"/>
              <w:marTop w:val="0"/>
              <w:marBottom w:val="0"/>
              <w:divBdr>
                <w:top w:val="none" w:sz="0" w:space="0" w:color="auto"/>
                <w:left w:val="none" w:sz="0" w:space="0" w:color="auto"/>
                <w:bottom w:val="none" w:sz="0" w:space="0" w:color="auto"/>
                <w:right w:val="none" w:sz="0" w:space="0" w:color="auto"/>
              </w:divBdr>
            </w:div>
            <w:div w:id="344476583">
              <w:marLeft w:val="0"/>
              <w:marRight w:val="0"/>
              <w:marTop w:val="0"/>
              <w:marBottom w:val="0"/>
              <w:divBdr>
                <w:top w:val="none" w:sz="0" w:space="0" w:color="auto"/>
                <w:left w:val="none" w:sz="0" w:space="0" w:color="auto"/>
                <w:bottom w:val="none" w:sz="0" w:space="0" w:color="auto"/>
                <w:right w:val="none" w:sz="0" w:space="0" w:color="auto"/>
              </w:divBdr>
            </w:div>
            <w:div w:id="1807746156">
              <w:marLeft w:val="0"/>
              <w:marRight w:val="0"/>
              <w:marTop w:val="0"/>
              <w:marBottom w:val="0"/>
              <w:divBdr>
                <w:top w:val="none" w:sz="0" w:space="0" w:color="auto"/>
                <w:left w:val="none" w:sz="0" w:space="0" w:color="auto"/>
                <w:bottom w:val="none" w:sz="0" w:space="0" w:color="auto"/>
                <w:right w:val="none" w:sz="0" w:space="0" w:color="auto"/>
              </w:divBdr>
            </w:div>
            <w:div w:id="925765090">
              <w:marLeft w:val="0"/>
              <w:marRight w:val="0"/>
              <w:marTop w:val="0"/>
              <w:marBottom w:val="0"/>
              <w:divBdr>
                <w:top w:val="none" w:sz="0" w:space="0" w:color="auto"/>
                <w:left w:val="none" w:sz="0" w:space="0" w:color="auto"/>
                <w:bottom w:val="none" w:sz="0" w:space="0" w:color="auto"/>
                <w:right w:val="none" w:sz="0" w:space="0" w:color="auto"/>
              </w:divBdr>
            </w:div>
            <w:div w:id="415441965">
              <w:marLeft w:val="0"/>
              <w:marRight w:val="0"/>
              <w:marTop w:val="0"/>
              <w:marBottom w:val="0"/>
              <w:divBdr>
                <w:top w:val="none" w:sz="0" w:space="0" w:color="auto"/>
                <w:left w:val="none" w:sz="0" w:space="0" w:color="auto"/>
                <w:bottom w:val="none" w:sz="0" w:space="0" w:color="auto"/>
                <w:right w:val="none" w:sz="0" w:space="0" w:color="auto"/>
              </w:divBdr>
            </w:div>
            <w:div w:id="1989699834">
              <w:marLeft w:val="0"/>
              <w:marRight w:val="0"/>
              <w:marTop w:val="0"/>
              <w:marBottom w:val="0"/>
              <w:divBdr>
                <w:top w:val="none" w:sz="0" w:space="0" w:color="auto"/>
                <w:left w:val="none" w:sz="0" w:space="0" w:color="auto"/>
                <w:bottom w:val="none" w:sz="0" w:space="0" w:color="auto"/>
                <w:right w:val="none" w:sz="0" w:space="0" w:color="auto"/>
              </w:divBdr>
            </w:div>
            <w:div w:id="1693341839">
              <w:marLeft w:val="0"/>
              <w:marRight w:val="0"/>
              <w:marTop w:val="0"/>
              <w:marBottom w:val="0"/>
              <w:divBdr>
                <w:top w:val="none" w:sz="0" w:space="0" w:color="auto"/>
                <w:left w:val="none" w:sz="0" w:space="0" w:color="auto"/>
                <w:bottom w:val="none" w:sz="0" w:space="0" w:color="auto"/>
                <w:right w:val="none" w:sz="0" w:space="0" w:color="auto"/>
              </w:divBdr>
            </w:div>
            <w:div w:id="327949592">
              <w:marLeft w:val="0"/>
              <w:marRight w:val="0"/>
              <w:marTop w:val="0"/>
              <w:marBottom w:val="0"/>
              <w:divBdr>
                <w:top w:val="none" w:sz="0" w:space="0" w:color="auto"/>
                <w:left w:val="none" w:sz="0" w:space="0" w:color="auto"/>
                <w:bottom w:val="none" w:sz="0" w:space="0" w:color="auto"/>
                <w:right w:val="none" w:sz="0" w:space="0" w:color="auto"/>
              </w:divBdr>
            </w:div>
            <w:div w:id="948196864">
              <w:marLeft w:val="0"/>
              <w:marRight w:val="0"/>
              <w:marTop w:val="0"/>
              <w:marBottom w:val="0"/>
              <w:divBdr>
                <w:top w:val="none" w:sz="0" w:space="0" w:color="auto"/>
                <w:left w:val="none" w:sz="0" w:space="0" w:color="auto"/>
                <w:bottom w:val="none" w:sz="0" w:space="0" w:color="auto"/>
                <w:right w:val="none" w:sz="0" w:space="0" w:color="auto"/>
              </w:divBdr>
            </w:div>
            <w:div w:id="1820344177">
              <w:marLeft w:val="0"/>
              <w:marRight w:val="0"/>
              <w:marTop w:val="0"/>
              <w:marBottom w:val="0"/>
              <w:divBdr>
                <w:top w:val="none" w:sz="0" w:space="0" w:color="auto"/>
                <w:left w:val="none" w:sz="0" w:space="0" w:color="auto"/>
                <w:bottom w:val="none" w:sz="0" w:space="0" w:color="auto"/>
                <w:right w:val="none" w:sz="0" w:space="0" w:color="auto"/>
              </w:divBdr>
            </w:div>
            <w:div w:id="1526403740">
              <w:marLeft w:val="0"/>
              <w:marRight w:val="0"/>
              <w:marTop w:val="0"/>
              <w:marBottom w:val="0"/>
              <w:divBdr>
                <w:top w:val="none" w:sz="0" w:space="0" w:color="auto"/>
                <w:left w:val="none" w:sz="0" w:space="0" w:color="auto"/>
                <w:bottom w:val="none" w:sz="0" w:space="0" w:color="auto"/>
                <w:right w:val="none" w:sz="0" w:space="0" w:color="auto"/>
              </w:divBdr>
            </w:div>
            <w:div w:id="2043020389">
              <w:marLeft w:val="0"/>
              <w:marRight w:val="0"/>
              <w:marTop w:val="0"/>
              <w:marBottom w:val="0"/>
              <w:divBdr>
                <w:top w:val="none" w:sz="0" w:space="0" w:color="auto"/>
                <w:left w:val="none" w:sz="0" w:space="0" w:color="auto"/>
                <w:bottom w:val="none" w:sz="0" w:space="0" w:color="auto"/>
                <w:right w:val="none" w:sz="0" w:space="0" w:color="auto"/>
              </w:divBdr>
            </w:div>
            <w:div w:id="786001292">
              <w:marLeft w:val="0"/>
              <w:marRight w:val="0"/>
              <w:marTop w:val="0"/>
              <w:marBottom w:val="0"/>
              <w:divBdr>
                <w:top w:val="none" w:sz="0" w:space="0" w:color="auto"/>
                <w:left w:val="none" w:sz="0" w:space="0" w:color="auto"/>
                <w:bottom w:val="none" w:sz="0" w:space="0" w:color="auto"/>
                <w:right w:val="none" w:sz="0" w:space="0" w:color="auto"/>
              </w:divBdr>
            </w:div>
            <w:div w:id="793907298">
              <w:marLeft w:val="0"/>
              <w:marRight w:val="0"/>
              <w:marTop w:val="0"/>
              <w:marBottom w:val="0"/>
              <w:divBdr>
                <w:top w:val="none" w:sz="0" w:space="0" w:color="auto"/>
                <w:left w:val="none" w:sz="0" w:space="0" w:color="auto"/>
                <w:bottom w:val="none" w:sz="0" w:space="0" w:color="auto"/>
                <w:right w:val="none" w:sz="0" w:space="0" w:color="auto"/>
              </w:divBdr>
            </w:div>
            <w:div w:id="144323489">
              <w:marLeft w:val="0"/>
              <w:marRight w:val="0"/>
              <w:marTop w:val="0"/>
              <w:marBottom w:val="0"/>
              <w:divBdr>
                <w:top w:val="none" w:sz="0" w:space="0" w:color="auto"/>
                <w:left w:val="none" w:sz="0" w:space="0" w:color="auto"/>
                <w:bottom w:val="none" w:sz="0" w:space="0" w:color="auto"/>
                <w:right w:val="none" w:sz="0" w:space="0" w:color="auto"/>
              </w:divBdr>
            </w:div>
            <w:div w:id="810050589">
              <w:marLeft w:val="0"/>
              <w:marRight w:val="0"/>
              <w:marTop w:val="0"/>
              <w:marBottom w:val="0"/>
              <w:divBdr>
                <w:top w:val="none" w:sz="0" w:space="0" w:color="auto"/>
                <w:left w:val="none" w:sz="0" w:space="0" w:color="auto"/>
                <w:bottom w:val="none" w:sz="0" w:space="0" w:color="auto"/>
                <w:right w:val="none" w:sz="0" w:space="0" w:color="auto"/>
              </w:divBdr>
            </w:div>
            <w:div w:id="1438671242">
              <w:marLeft w:val="0"/>
              <w:marRight w:val="0"/>
              <w:marTop w:val="0"/>
              <w:marBottom w:val="0"/>
              <w:divBdr>
                <w:top w:val="none" w:sz="0" w:space="0" w:color="auto"/>
                <w:left w:val="none" w:sz="0" w:space="0" w:color="auto"/>
                <w:bottom w:val="none" w:sz="0" w:space="0" w:color="auto"/>
                <w:right w:val="none" w:sz="0" w:space="0" w:color="auto"/>
              </w:divBdr>
            </w:div>
          </w:divsChild>
        </w:div>
        <w:div w:id="1334381176">
          <w:marLeft w:val="0"/>
          <w:marRight w:val="0"/>
          <w:marTop w:val="0"/>
          <w:marBottom w:val="0"/>
          <w:divBdr>
            <w:top w:val="none" w:sz="0" w:space="0" w:color="auto"/>
            <w:left w:val="none" w:sz="0" w:space="0" w:color="auto"/>
            <w:bottom w:val="none" w:sz="0" w:space="0" w:color="auto"/>
            <w:right w:val="none" w:sz="0" w:space="0" w:color="auto"/>
          </w:divBdr>
        </w:div>
        <w:div w:id="860440538">
          <w:marLeft w:val="0"/>
          <w:marRight w:val="0"/>
          <w:marTop w:val="0"/>
          <w:marBottom w:val="0"/>
          <w:divBdr>
            <w:top w:val="none" w:sz="0" w:space="0" w:color="auto"/>
            <w:left w:val="none" w:sz="0" w:space="0" w:color="auto"/>
            <w:bottom w:val="none" w:sz="0" w:space="0" w:color="auto"/>
            <w:right w:val="none" w:sz="0" w:space="0" w:color="auto"/>
          </w:divBdr>
        </w:div>
        <w:div w:id="550770313">
          <w:marLeft w:val="0"/>
          <w:marRight w:val="0"/>
          <w:marTop w:val="0"/>
          <w:marBottom w:val="0"/>
          <w:divBdr>
            <w:top w:val="none" w:sz="0" w:space="0" w:color="auto"/>
            <w:left w:val="none" w:sz="0" w:space="0" w:color="auto"/>
            <w:bottom w:val="none" w:sz="0" w:space="0" w:color="auto"/>
            <w:right w:val="none" w:sz="0" w:space="0" w:color="auto"/>
          </w:divBdr>
        </w:div>
        <w:div w:id="1035469968">
          <w:marLeft w:val="0"/>
          <w:marRight w:val="0"/>
          <w:marTop w:val="0"/>
          <w:marBottom w:val="0"/>
          <w:divBdr>
            <w:top w:val="none" w:sz="0" w:space="0" w:color="auto"/>
            <w:left w:val="none" w:sz="0" w:space="0" w:color="auto"/>
            <w:bottom w:val="none" w:sz="0" w:space="0" w:color="auto"/>
            <w:right w:val="none" w:sz="0" w:space="0" w:color="auto"/>
          </w:divBdr>
          <w:divsChild>
            <w:div w:id="217056404">
              <w:marLeft w:val="0"/>
              <w:marRight w:val="0"/>
              <w:marTop w:val="0"/>
              <w:marBottom w:val="0"/>
              <w:divBdr>
                <w:top w:val="none" w:sz="0" w:space="0" w:color="auto"/>
                <w:left w:val="none" w:sz="0" w:space="0" w:color="auto"/>
                <w:bottom w:val="none" w:sz="0" w:space="0" w:color="auto"/>
                <w:right w:val="none" w:sz="0" w:space="0" w:color="auto"/>
              </w:divBdr>
            </w:div>
            <w:div w:id="730007727">
              <w:marLeft w:val="0"/>
              <w:marRight w:val="0"/>
              <w:marTop w:val="0"/>
              <w:marBottom w:val="0"/>
              <w:divBdr>
                <w:top w:val="none" w:sz="0" w:space="0" w:color="auto"/>
                <w:left w:val="none" w:sz="0" w:space="0" w:color="auto"/>
                <w:bottom w:val="none" w:sz="0" w:space="0" w:color="auto"/>
                <w:right w:val="none" w:sz="0" w:space="0" w:color="auto"/>
              </w:divBdr>
            </w:div>
            <w:div w:id="451175702">
              <w:marLeft w:val="0"/>
              <w:marRight w:val="0"/>
              <w:marTop w:val="0"/>
              <w:marBottom w:val="0"/>
              <w:divBdr>
                <w:top w:val="none" w:sz="0" w:space="0" w:color="auto"/>
                <w:left w:val="none" w:sz="0" w:space="0" w:color="auto"/>
                <w:bottom w:val="none" w:sz="0" w:space="0" w:color="auto"/>
                <w:right w:val="none" w:sz="0" w:space="0" w:color="auto"/>
              </w:divBdr>
            </w:div>
            <w:div w:id="660432130">
              <w:marLeft w:val="0"/>
              <w:marRight w:val="0"/>
              <w:marTop w:val="0"/>
              <w:marBottom w:val="0"/>
              <w:divBdr>
                <w:top w:val="none" w:sz="0" w:space="0" w:color="auto"/>
                <w:left w:val="none" w:sz="0" w:space="0" w:color="auto"/>
                <w:bottom w:val="none" w:sz="0" w:space="0" w:color="auto"/>
                <w:right w:val="none" w:sz="0" w:space="0" w:color="auto"/>
              </w:divBdr>
            </w:div>
            <w:div w:id="423378940">
              <w:marLeft w:val="0"/>
              <w:marRight w:val="0"/>
              <w:marTop w:val="0"/>
              <w:marBottom w:val="0"/>
              <w:divBdr>
                <w:top w:val="none" w:sz="0" w:space="0" w:color="auto"/>
                <w:left w:val="none" w:sz="0" w:space="0" w:color="auto"/>
                <w:bottom w:val="none" w:sz="0" w:space="0" w:color="auto"/>
                <w:right w:val="none" w:sz="0" w:space="0" w:color="auto"/>
              </w:divBdr>
            </w:div>
            <w:div w:id="1409687942">
              <w:marLeft w:val="0"/>
              <w:marRight w:val="0"/>
              <w:marTop w:val="0"/>
              <w:marBottom w:val="0"/>
              <w:divBdr>
                <w:top w:val="none" w:sz="0" w:space="0" w:color="auto"/>
                <w:left w:val="none" w:sz="0" w:space="0" w:color="auto"/>
                <w:bottom w:val="none" w:sz="0" w:space="0" w:color="auto"/>
                <w:right w:val="none" w:sz="0" w:space="0" w:color="auto"/>
              </w:divBdr>
            </w:div>
            <w:div w:id="875898295">
              <w:marLeft w:val="0"/>
              <w:marRight w:val="0"/>
              <w:marTop w:val="0"/>
              <w:marBottom w:val="0"/>
              <w:divBdr>
                <w:top w:val="none" w:sz="0" w:space="0" w:color="auto"/>
                <w:left w:val="none" w:sz="0" w:space="0" w:color="auto"/>
                <w:bottom w:val="none" w:sz="0" w:space="0" w:color="auto"/>
                <w:right w:val="none" w:sz="0" w:space="0" w:color="auto"/>
              </w:divBdr>
            </w:div>
            <w:div w:id="18804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and Meaghan</dc:creator>
  <cp:lastModifiedBy>Julian and Meaghan</cp:lastModifiedBy>
  <cp:revision>1</cp:revision>
  <dcterms:created xsi:type="dcterms:W3CDTF">2009-10-28T13:43:00Z</dcterms:created>
  <dcterms:modified xsi:type="dcterms:W3CDTF">2009-10-28T13:45:00Z</dcterms:modified>
</cp:coreProperties>
</file>