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6" w:rsidRDefault="00A517F0">
      <w:r>
        <w:t>Rebecca Ticknor</w:t>
      </w:r>
      <w:r>
        <w:br/>
        <w:t>Page 578 Assignment</w:t>
      </w:r>
      <w:r>
        <w:br/>
        <w:t>October 13, 2009</w:t>
      </w:r>
    </w:p>
    <w:p w:rsidR="00D65BF9" w:rsidRDefault="00D65BF9">
      <w:pPr>
        <w:rPr>
          <w:b/>
        </w:rPr>
      </w:pPr>
      <w:r>
        <w:rPr>
          <w:b/>
        </w:rPr>
        <w:t>The Facts:</w:t>
      </w:r>
    </w:p>
    <w:p w:rsidR="00D65BF9" w:rsidRDefault="00D65BF9">
      <w:pPr>
        <w:rPr>
          <w:b/>
        </w:rPr>
      </w:pPr>
      <w:r>
        <w:rPr>
          <w:b/>
        </w:rPr>
        <w:t>Each year, the National Highway Traffic Safety Administration (NHTSA) with the National Center for Statistics and Analysis (NCSA) publishes Traffic Safety Facts, which summarizes the motor vehicle traffic crashes for the United States.  Traffic Safety Facts 2005 includes trend data, crash data, vehicle data, and people data. Also, the NHTSA and NCSA publish a report summarizing the motor vehicle crash data of the 32 states in the NHTSA’s State Data System.</w:t>
      </w:r>
    </w:p>
    <w:p w:rsidR="00817B92" w:rsidRDefault="00D65BF9">
      <w:pPr>
        <w:rPr>
          <w:b/>
        </w:rPr>
      </w:pPr>
      <w:r>
        <w:rPr>
          <w:b/>
        </w:rPr>
        <w:t>In 2005 there were 43,443 fatalities in the United States as a result of motor vehicle crashes. The pie chart at the right shows the national distribution of traffic fatalities with respect to age group.  For example, 16% of all motor vehicle fatalities were adults age 25-34.  Using the data from the 32 states in the NHTSA’s State Data System as a sample, the contingency table shows the number of motor vehicle fatalities according to the age and geographic location within the United States.</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144"/>
        <w:gridCol w:w="1623"/>
        <w:gridCol w:w="1950"/>
      </w:tblGrid>
      <w:tr w:rsidR="00817B92" w:rsidTr="002D66ED">
        <w:trPr>
          <w:cnfStyle w:val="100000000000"/>
          <w:trHeight w:val="377"/>
          <w:jc w:val="center"/>
        </w:trPr>
        <w:tc>
          <w:tcPr>
            <w:cnfStyle w:val="001000000000"/>
            <w:tcW w:w="1297" w:type="dxa"/>
          </w:tcPr>
          <w:p w:rsidR="00817B92" w:rsidRDefault="00817B92" w:rsidP="00817B92">
            <w:pPr>
              <w:jc w:val="center"/>
              <w:rPr>
                <w:b w:val="0"/>
              </w:rPr>
            </w:pPr>
            <w:r>
              <w:rPr>
                <w:b w:val="0"/>
              </w:rPr>
              <w:t>Age</w:t>
            </w:r>
          </w:p>
        </w:tc>
        <w:tc>
          <w:tcPr>
            <w:tcW w:w="1144" w:type="dxa"/>
          </w:tcPr>
          <w:p w:rsidR="00817B92" w:rsidRDefault="00817B92" w:rsidP="00817B92">
            <w:pPr>
              <w:jc w:val="center"/>
              <w:cnfStyle w:val="100000000000"/>
              <w:rPr>
                <w:bCs w:val="0"/>
              </w:rPr>
            </w:pPr>
            <w:r>
              <w:rPr>
                <w:bCs w:val="0"/>
              </w:rPr>
              <w:t>Eastern US</w:t>
            </w:r>
          </w:p>
        </w:tc>
        <w:tc>
          <w:tcPr>
            <w:tcW w:w="1623" w:type="dxa"/>
          </w:tcPr>
          <w:p w:rsidR="00817B92" w:rsidRDefault="00817B92" w:rsidP="00817B92">
            <w:pPr>
              <w:jc w:val="center"/>
              <w:cnfStyle w:val="100000000000"/>
              <w:rPr>
                <w:b w:val="0"/>
              </w:rPr>
            </w:pPr>
            <w:r>
              <w:rPr>
                <w:b w:val="0"/>
              </w:rPr>
              <w:t>Central US</w:t>
            </w:r>
          </w:p>
        </w:tc>
        <w:tc>
          <w:tcPr>
            <w:tcW w:w="1950" w:type="dxa"/>
          </w:tcPr>
          <w:p w:rsidR="00817B92" w:rsidRDefault="00817B92" w:rsidP="00817B92">
            <w:pPr>
              <w:jc w:val="center"/>
              <w:cnfStyle w:val="100000000000"/>
              <w:rPr>
                <w:bCs w:val="0"/>
              </w:rPr>
            </w:pPr>
            <w:r>
              <w:rPr>
                <w:bCs w:val="0"/>
              </w:rPr>
              <w:t>Western US</w:t>
            </w:r>
          </w:p>
        </w:tc>
      </w:tr>
      <w:tr w:rsidR="00817B92" w:rsidTr="002D66ED">
        <w:trPr>
          <w:cnfStyle w:val="000000100000"/>
          <w:trHeight w:val="267"/>
          <w:jc w:val="center"/>
        </w:trPr>
        <w:tc>
          <w:tcPr>
            <w:cnfStyle w:val="001000000000"/>
            <w:tcW w:w="1297" w:type="dxa"/>
            <w:tcBorders>
              <w:top w:val="none" w:sz="0" w:space="0" w:color="auto"/>
              <w:left w:val="none" w:sz="0" w:space="0" w:color="auto"/>
              <w:bottom w:val="none" w:sz="0" w:space="0" w:color="auto"/>
            </w:tcBorders>
          </w:tcPr>
          <w:p w:rsidR="00817B92" w:rsidRDefault="00817B92" w:rsidP="00817B92">
            <w:pPr>
              <w:rPr>
                <w:b w:val="0"/>
              </w:rPr>
            </w:pPr>
            <w:r>
              <w:rPr>
                <w:b w:val="0"/>
              </w:rPr>
              <w:t>Under 16</w:t>
            </w:r>
          </w:p>
        </w:tc>
        <w:tc>
          <w:tcPr>
            <w:tcW w:w="1144" w:type="dxa"/>
            <w:tcBorders>
              <w:top w:val="none" w:sz="0" w:space="0" w:color="auto"/>
              <w:bottom w:val="none" w:sz="0" w:space="0" w:color="auto"/>
            </w:tcBorders>
          </w:tcPr>
          <w:p w:rsidR="00817B92" w:rsidRDefault="00817B92" w:rsidP="00817B92">
            <w:pPr>
              <w:cnfStyle w:val="000000100000"/>
              <w:rPr>
                <w:bCs/>
              </w:rPr>
            </w:pPr>
            <w:r>
              <w:rPr>
                <w:bCs/>
              </w:rPr>
              <w:t>651</w:t>
            </w:r>
          </w:p>
        </w:tc>
        <w:tc>
          <w:tcPr>
            <w:tcW w:w="1623" w:type="dxa"/>
            <w:tcBorders>
              <w:top w:val="none" w:sz="0" w:space="0" w:color="auto"/>
              <w:bottom w:val="none" w:sz="0" w:space="0" w:color="auto"/>
            </w:tcBorders>
          </w:tcPr>
          <w:p w:rsidR="00817B92" w:rsidRDefault="00817B92" w:rsidP="00817B92">
            <w:pPr>
              <w:cnfStyle w:val="000000100000"/>
              <w:rPr>
                <w:bCs/>
              </w:rPr>
            </w:pPr>
            <w:r>
              <w:rPr>
                <w:bCs/>
              </w:rPr>
              <w:t>841</w:t>
            </w:r>
          </w:p>
        </w:tc>
        <w:tc>
          <w:tcPr>
            <w:tcW w:w="1950" w:type="dxa"/>
            <w:tcBorders>
              <w:top w:val="none" w:sz="0" w:space="0" w:color="auto"/>
              <w:bottom w:val="none" w:sz="0" w:space="0" w:color="auto"/>
              <w:right w:val="none" w:sz="0" w:space="0" w:color="auto"/>
            </w:tcBorders>
          </w:tcPr>
          <w:p w:rsidR="00817B92" w:rsidRDefault="00817B92" w:rsidP="00817B92">
            <w:pPr>
              <w:cnfStyle w:val="000000100000"/>
              <w:rPr>
                <w:bCs/>
              </w:rPr>
            </w:pPr>
            <w:r>
              <w:rPr>
                <w:bCs/>
              </w:rPr>
              <w:t>414</w:t>
            </w:r>
          </w:p>
        </w:tc>
      </w:tr>
      <w:tr w:rsidR="00817B92" w:rsidTr="002D66ED">
        <w:trPr>
          <w:trHeight w:val="252"/>
          <w:jc w:val="center"/>
        </w:trPr>
        <w:tc>
          <w:tcPr>
            <w:cnfStyle w:val="001000000000"/>
            <w:tcW w:w="1297" w:type="dxa"/>
          </w:tcPr>
          <w:p w:rsidR="00817B92" w:rsidRDefault="00817B92" w:rsidP="00817B92">
            <w:pPr>
              <w:rPr>
                <w:b w:val="0"/>
              </w:rPr>
            </w:pPr>
            <w:r>
              <w:rPr>
                <w:b w:val="0"/>
              </w:rPr>
              <w:t>16-24</w:t>
            </w:r>
          </w:p>
        </w:tc>
        <w:tc>
          <w:tcPr>
            <w:tcW w:w="1144" w:type="dxa"/>
          </w:tcPr>
          <w:p w:rsidR="00817B92" w:rsidRDefault="00817B92" w:rsidP="00817B92">
            <w:pPr>
              <w:cnfStyle w:val="000000000000"/>
              <w:rPr>
                <w:bCs/>
              </w:rPr>
            </w:pPr>
            <w:r>
              <w:rPr>
                <w:bCs/>
              </w:rPr>
              <w:t>3309</w:t>
            </w:r>
          </w:p>
        </w:tc>
        <w:tc>
          <w:tcPr>
            <w:tcW w:w="1623" w:type="dxa"/>
          </w:tcPr>
          <w:p w:rsidR="00817B92" w:rsidRDefault="00817B92" w:rsidP="00817B92">
            <w:pPr>
              <w:cnfStyle w:val="000000000000"/>
              <w:rPr>
                <w:bCs/>
              </w:rPr>
            </w:pPr>
            <w:r>
              <w:rPr>
                <w:bCs/>
              </w:rPr>
              <w:t>3478</w:t>
            </w:r>
          </w:p>
        </w:tc>
        <w:tc>
          <w:tcPr>
            <w:tcW w:w="1950" w:type="dxa"/>
          </w:tcPr>
          <w:p w:rsidR="00817B92" w:rsidRDefault="00817B92" w:rsidP="00817B92">
            <w:pPr>
              <w:cnfStyle w:val="000000000000"/>
              <w:rPr>
                <w:bCs/>
              </w:rPr>
            </w:pPr>
            <w:r>
              <w:rPr>
                <w:bCs/>
              </w:rPr>
              <w:t>1655</w:t>
            </w:r>
          </w:p>
        </w:tc>
      </w:tr>
      <w:tr w:rsidR="00817B92" w:rsidTr="002D66ED">
        <w:trPr>
          <w:cnfStyle w:val="000000100000"/>
          <w:trHeight w:val="267"/>
          <w:jc w:val="center"/>
        </w:trPr>
        <w:tc>
          <w:tcPr>
            <w:cnfStyle w:val="001000000000"/>
            <w:tcW w:w="1297" w:type="dxa"/>
            <w:tcBorders>
              <w:top w:val="none" w:sz="0" w:space="0" w:color="auto"/>
              <w:left w:val="none" w:sz="0" w:space="0" w:color="auto"/>
              <w:bottom w:val="none" w:sz="0" w:space="0" w:color="auto"/>
            </w:tcBorders>
          </w:tcPr>
          <w:p w:rsidR="00817B92" w:rsidRDefault="00817B92" w:rsidP="00817B92">
            <w:pPr>
              <w:rPr>
                <w:b w:val="0"/>
              </w:rPr>
            </w:pPr>
            <w:r>
              <w:rPr>
                <w:b w:val="0"/>
              </w:rPr>
              <w:t>25-34</w:t>
            </w:r>
          </w:p>
        </w:tc>
        <w:tc>
          <w:tcPr>
            <w:tcW w:w="1144" w:type="dxa"/>
            <w:tcBorders>
              <w:top w:val="none" w:sz="0" w:space="0" w:color="auto"/>
              <w:bottom w:val="none" w:sz="0" w:space="0" w:color="auto"/>
            </w:tcBorders>
          </w:tcPr>
          <w:p w:rsidR="00817B92" w:rsidRDefault="00817B92" w:rsidP="00817B92">
            <w:pPr>
              <w:cnfStyle w:val="000000100000"/>
              <w:rPr>
                <w:bCs/>
              </w:rPr>
            </w:pPr>
            <w:r>
              <w:rPr>
                <w:bCs/>
              </w:rPr>
              <w:t>2255</w:t>
            </w:r>
          </w:p>
        </w:tc>
        <w:tc>
          <w:tcPr>
            <w:tcW w:w="1623" w:type="dxa"/>
            <w:tcBorders>
              <w:top w:val="none" w:sz="0" w:space="0" w:color="auto"/>
              <w:bottom w:val="none" w:sz="0" w:space="0" w:color="auto"/>
            </w:tcBorders>
          </w:tcPr>
          <w:p w:rsidR="00817B92" w:rsidRDefault="00817B92" w:rsidP="00817B92">
            <w:pPr>
              <w:cnfStyle w:val="000000100000"/>
              <w:rPr>
                <w:bCs/>
              </w:rPr>
            </w:pPr>
            <w:r>
              <w:rPr>
                <w:bCs/>
              </w:rPr>
              <w:t>2346</w:t>
            </w:r>
          </w:p>
        </w:tc>
        <w:tc>
          <w:tcPr>
            <w:tcW w:w="1950" w:type="dxa"/>
            <w:tcBorders>
              <w:top w:val="none" w:sz="0" w:space="0" w:color="auto"/>
              <w:bottom w:val="none" w:sz="0" w:space="0" w:color="auto"/>
              <w:right w:val="none" w:sz="0" w:space="0" w:color="auto"/>
            </w:tcBorders>
          </w:tcPr>
          <w:p w:rsidR="00817B92" w:rsidRDefault="00817B92" w:rsidP="00817B92">
            <w:pPr>
              <w:cnfStyle w:val="000000100000"/>
              <w:rPr>
                <w:bCs/>
              </w:rPr>
            </w:pPr>
            <w:r>
              <w:rPr>
                <w:bCs/>
              </w:rPr>
              <w:t>1154</w:t>
            </w:r>
          </w:p>
        </w:tc>
      </w:tr>
      <w:tr w:rsidR="00817B92" w:rsidTr="002D66ED">
        <w:trPr>
          <w:trHeight w:val="267"/>
          <w:jc w:val="center"/>
        </w:trPr>
        <w:tc>
          <w:tcPr>
            <w:cnfStyle w:val="001000000000"/>
            <w:tcW w:w="1297" w:type="dxa"/>
          </w:tcPr>
          <w:p w:rsidR="00817B92" w:rsidRDefault="00817B92" w:rsidP="00817B92">
            <w:pPr>
              <w:rPr>
                <w:b w:val="0"/>
              </w:rPr>
            </w:pPr>
            <w:r>
              <w:rPr>
                <w:b w:val="0"/>
              </w:rPr>
              <w:t>35-44</w:t>
            </w:r>
          </w:p>
        </w:tc>
        <w:tc>
          <w:tcPr>
            <w:tcW w:w="1144" w:type="dxa"/>
          </w:tcPr>
          <w:p w:rsidR="00817B92" w:rsidRDefault="00817B92" w:rsidP="00817B92">
            <w:pPr>
              <w:cnfStyle w:val="000000000000"/>
              <w:rPr>
                <w:bCs/>
              </w:rPr>
            </w:pPr>
            <w:r>
              <w:rPr>
                <w:bCs/>
              </w:rPr>
              <w:t>2132</w:t>
            </w:r>
          </w:p>
        </w:tc>
        <w:tc>
          <w:tcPr>
            <w:tcW w:w="1623" w:type="dxa"/>
          </w:tcPr>
          <w:p w:rsidR="00817B92" w:rsidRDefault="00817B92" w:rsidP="00817B92">
            <w:pPr>
              <w:cnfStyle w:val="000000000000"/>
              <w:rPr>
                <w:bCs/>
              </w:rPr>
            </w:pPr>
            <w:r>
              <w:rPr>
                <w:bCs/>
              </w:rPr>
              <w:t>2163</w:t>
            </w:r>
          </w:p>
        </w:tc>
        <w:tc>
          <w:tcPr>
            <w:tcW w:w="1950" w:type="dxa"/>
          </w:tcPr>
          <w:p w:rsidR="00817B92" w:rsidRDefault="00817B92" w:rsidP="00817B92">
            <w:pPr>
              <w:cnfStyle w:val="000000000000"/>
              <w:rPr>
                <w:bCs/>
              </w:rPr>
            </w:pPr>
            <w:r>
              <w:rPr>
                <w:bCs/>
              </w:rPr>
              <w:t>1021</w:t>
            </w:r>
          </w:p>
        </w:tc>
      </w:tr>
      <w:tr w:rsidR="00817B92" w:rsidTr="002D66ED">
        <w:trPr>
          <w:cnfStyle w:val="000000100000"/>
          <w:trHeight w:val="267"/>
          <w:jc w:val="center"/>
        </w:trPr>
        <w:tc>
          <w:tcPr>
            <w:cnfStyle w:val="001000000000"/>
            <w:tcW w:w="1297" w:type="dxa"/>
            <w:tcBorders>
              <w:top w:val="none" w:sz="0" w:space="0" w:color="auto"/>
              <w:left w:val="none" w:sz="0" w:space="0" w:color="auto"/>
              <w:bottom w:val="none" w:sz="0" w:space="0" w:color="auto"/>
            </w:tcBorders>
          </w:tcPr>
          <w:p w:rsidR="00817B92" w:rsidRDefault="00817B92" w:rsidP="00817B92">
            <w:pPr>
              <w:rPr>
                <w:b w:val="0"/>
              </w:rPr>
            </w:pPr>
            <w:r>
              <w:rPr>
                <w:b w:val="0"/>
              </w:rPr>
              <w:t>45-54</w:t>
            </w:r>
          </w:p>
        </w:tc>
        <w:tc>
          <w:tcPr>
            <w:tcW w:w="1144" w:type="dxa"/>
            <w:tcBorders>
              <w:top w:val="none" w:sz="0" w:space="0" w:color="auto"/>
              <w:bottom w:val="none" w:sz="0" w:space="0" w:color="auto"/>
            </w:tcBorders>
          </w:tcPr>
          <w:p w:rsidR="00817B92" w:rsidRDefault="00817B92" w:rsidP="00817B92">
            <w:pPr>
              <w:cnfStyle w:val="000000100000"/>
              <w:rPr>
                <w:bCs/>
              </w:rPr>
            </w:pPr>
            <w:r>
              <w:rPr>
                <w:bCs/>
              </w:rPr>
              <w:t>1977</w:t>
            </w:r>
          </w:p>
        </w:tc>
        <w:tc>
          <w:tcPr>
            <w:tcW w:w="1623" w:type="dxa"/>
            <w:tcBorders>
              <w:top w:val="none" w:sz="0" w:space="0" w:color="auto"/>
              <w:bottom w:val="none" w:sz="0" w:space="0" w:color="auto"/>
            </w:tcBorders>
          </w:tcPr>
          <w:p w:rsidR="00817B92" w:rsidRDefault="00817B92" w:rsidP="00817B92">
            <w:pPr>
              <w:cnfStyle w:val="000000100000"/>
              <w:rPr>
                <w:bCs/>
              </w:rPr>
            </w:pPr>
            <w:r>
              <w:rPr>
                <w:bCs/>
              </w:rPr>
              <w:t>1994</w:t>
            </w:r>
          </w:p>
        </w:tc>
        <w:tc>
          <w:tcPr>
            <w:tcW w:w="1950" w:type="dxa"/>
            <w:tcBorders>
              <w:top w:val="none" w:sz="0" w:space="0" w:color="auto"/>
              <w:bottom w:val="none" w:sz="0" w:space="0" w:color="auto"/>
              <w:right w:val="none" w:sz="0" w:space="0" w:color="auto"/>
            </w:tcBorders>
          </w:tcPr>
          <w:p w:rsidR="00817B92" w:rsidRDefault="00817B92" w:rsidP="00817B92">
            <w:pPr>
              <w:cnfStyle w:val="000000100000"/>
              <w:rPr>
                <w:bCs/>
              </w:rPr>
            </w:pPr>
            <w:r>
              <w:rPr>
                <w:bCs/>
              </w:rPr>
              <w:t>955</w:t>
            </w:r>
          </w:p>
        </w:tc>
      </w:tr>
      <w:tr w:rsidR="00817B92" w:rsidTr="002D66ED">
        <w:trPr>
          <w:trHeight w:val="252"/>
          <w:jc w:val="center"/>
        </w:trPr>
        <w:tc>
          <w:tcPr>
            <w:cnfStyle w:val="001000000000"/>
            <w:tcW w:w="1297" w:type="dxa"/>
          </w:tcPr>
          <w:p w:rsidR="00817B92" w:rsidRDefault="00817B92" w:rsidP="00817B92">
            <w:pPr>
              <w:rPr>
                <w:b w:val="0"/>
              </w:rPr>
            </w:pPr>
            <w:r>
              <w:rPr>
                <w:b w:val="0"/>
              </w:rPr>
              <w:t>55-64</w:t>
            </w:r>
          </w:p>
        </w:tc>
        <w:tc>
          <w:tcPr>
            <w:tcW w:w="1144" w:type="dxa"/>
          </w:tcPr>
          <w:p w:rsidR="00817B92" w:rsidRDefault="00817B92" w:rsidP="00817B92">
            <w:pPr>
              <w:cnfStyle w:val="000000000000"/>
              <w:rPr>
                <w:bCs/>
              </w:rPr>
            </w:pPr>
            <w:r>
              <w:rPr>
                <w:bCs/>
              </w:rPr>
              <w:t>1359</w:t>
            </w:r>
          </w:p>
        </w:tc>
        <w:tc>
          <w:tcPr>
            <w:tcW w:w="1623" w:type="dxa"/>
          </w:tcPr>
          <w:p w:rsidR="00817B92" w:rsidRDefault="00817B92" w:rsidP="00817B92">
            <w:pPr>
              <w:cnfStyle w:val="000000000000"/>
              <w:rPr>
                <w:bCs/>
              </w:rPr>
            </w:pPr>
            <w:r>
              <w:rPr>
                <w:bCs/>
              </w:rPr>
              <w:t>1361</w:t>
            </w:r>
          </w:p>
        </w:tc>
        <w:tc>
          <w:tcPr>
            <w:tcW w:w="1950" w:type="dxa"/>
          </w:tcPr>
          <w:p w:rsidR="00817B92" w:rsidRDefault="00817B92" w:rsidP="00817B92">
            <w:pPr>
              <w:cnfStyle w:val="000000000000"/>
              <w:rPr>
                <w:bCs/>
              </w:rPr>
            </w:pPr>
            <w:r>
              <w:rPr>
                <w:bCs/>
              </w:rPr>
              <w:t>668</w:t>
            </w:r>
          </w:p>
        </w:tc>
      </w:tr>
      <w:tr w:rsidR="00817B92" w:rsidTr="002D66ED">
        <w:trPr>
          <w:cnfStyle w:val="000000100000"/>
          <w:trHeight w:val="267"/>
          <w:jc w:val="center"/>
        </w:trPr>
        <w:tc>
          <w:tcPr>
            <w:cnfStyle w:val="001000000000"/>
            <w:tcW w:w="1297" w:type="dxa"/>
            <w:tcBorders>
              <w:top w:val="none" w:sz="0" w:space="0" w:color="auto"/>
              <w:left w:val="none" w:sz="0" w:space="0" w:color="auto"/>
              <w:bottom w:val="none" w:sz="0" w:space="0" w:color="auto"/>
            </w:tcBorders>
          </w:tcPr>
          <w:p w:rsidR="00817B92" w:rsidRDefault="00817B92" w:rsidP="00817B92">
            <w:pPr>
              <w:rPr>
                <w:b w:val="0"/>
              </w:rPr>
            </w:pPr>
            <w:r>
              <w:rPr>
                <w:b w:val="0"/>
              </w:rPr>
              <w:t>65-74</w:t>
            </w:r>
          </w:p>
        </w:tc>
        <w:tc>
          <w:tcPr>
            <w:tcW w:w="1144" w:type="dxa"/>
            <w:tcBorders>
              <w:top w:val="none" w:sz="0" w:space="0" w:color="auto"/>
              <w:bottom w:val="none" w:sz="0" w:space="0" w:color="auto"/>
            </w:tcBorders>
          </w:tcPr>
          <w:p w:rsidR="00817B92" w:rsidRDefault="00817B92" w:rsidP="00817B92">
            <w:pPr>
              <w:cnfStyle w:val="000000100000"/>
              <w:rPr>
                <w:bCs/>
              </w:rPr>
            </w:pPr>
            <w:r>
              <w:rPr>
                <w:bCs/>
              </w:rPr>
              <w:t>941</w:t>
            </w:r>
          </w:p>
        </w:tc>
        <w:tc>
          <w:tcPr>
            <w:tcW w:w="1623" w:type="dxa"/>
            <w:tcBorders>
              <w:top w:val="none" w:sz="0" w:space="0" w:color="auto"/>
              <w:bottom w:val="none" w:sz="0" w:space="0" w:color="auto"/>
            </w:tcBorders>
          </w:tcPr>
          <w:p w:rsidR="00817B92" w:rsidRDefault="00817B92" w:rsidP="00817B92">
            <w:pPr>
              <w:cnfStyle w:val="000000100000"/>
              <w:rPr>
                <w:bCs/>
              </w:rPr>
            </w:pPr>
            <w:r>
              <w:rPr>
                <w:bCs/>
              </w:rPr>
              <w:t>939</w:t>
            </w:r>
          </w:p>
        </w:tc>
        <w:tc>
          <w:tcPr>
            <w:tcW w:w="1950" w:type="dxa"/>
            <w:tcBorders>
              <w:top w:val="none" w:sz="0" w:space="0" w:color="auto"/>
              <w:bottom w:val="none" w:sz="0" w:space="0" w:color="auto"/>
              <w:right w:val="none" w:sz="0" w:space="0" w:color="auto"/>
            </w:tcBorders>
          </w:tcPr>
          <w:p w:rsidR="00817B92" w:rsidRDefault="00817B92" w:rsidP="00817B92">
            <w:pPr>
              <w:cnfStyle w:val="000000100000"/>
              <w:rPr>
                <w:bCs/>
              </w:rPr>
            </w:pPr>
            <w:r>
              <w:rPr>
                <w:bCs/>
              </w:rPr>
              <w:t>386</w:t>
            </w:r>
          </w:p>
        </w:tc>
      </w:tr>
      <w:tr w:rsidR="00817B92" w:rsidTr="002D66ED">
        <w:trPr>
          <w:trHeight w:val="267"/>
          <w:jc w:val="center"/>
        </w:trPr>
        <w:tc>
          <w:tcPr>
            <w:cnfStyle w:val="001000000000"/>
            <w:tcW w:w="1297" w:type="dxa"/>
          </w:tcPr>
          <w:p w:rsidR="00817B92" w:rsidRDefault="00817B92" w:rsidP="00817B92">
            <w:pPr>
              <w:rPr>
                <w:b w:val="0"/>
              </w:rPr>
            </w:pPr>
            <w:r>
              <w:rPr>
                <w:b w:val="0"/>
              </w:rPr>
              <w:t>75+</w:t>
            </w:r>
          </w:p>
        </w:tc>
        <w:tc>
          <w:tcPr>
            <w:tcW w:w="1144" w:type="dxa"/>
          </w:tcPr>
          <w:p w:rsidR="00817B92" w:rsidRDefault="00817B92" w:rsidP="00817B92">
            <w:pPr>
              <w:cnfStyle w:val="000000000000"/>
              <w:rPr>
                <w:bCs/>
              </w:rPr>
            </w:pPr>
            <w:r>
              <w:rPr>
                <w:bCs/>
              </w:rPr>
              <w:t>1354</w:t>
            </w:r>
          </w:p>
        </w:tc>
        <w:tc>
          <w:tcPr>
            <w:tcW w:w="1623" w:type="dxa"/>
          </w:tcPr>
          <w:p w:rsidR="00817B92" w:rsidRDefault="00817B92" w:rsidP="00817B92">
            <w:pPr>
              <w:cnfStyle w:val="000000000000"/>
              <w:rPr>
                <w:bCs/>
              </w:rPr>
            </w:pPr>
            <w:r>
              <w:rPr>
                <w:bCs/>
              </w:rPr>
              <w:t>1190</w:t>
            </w:r>
          </w:p>
        </w:tc>
        <w:tc>
          <w:tcPr>
            <w:tcW w:w="1950" w:type="dxa"/>
          </w:tcPr>
          <w:p w:rsidR="00817B92" w:rsidRDefault="00817B92" w:rsidP="00817B92">
            <w:pPr>
              <w:cnfStyle w:val="000000000000"/>
              <w:rPr>
                <w:bCs/>
              </w:rPr>
            </w:pPr>
            <w:r>
              <w:rPr>
                <w:bCs/>
              </w:rPr>
              <w:t>498</w:t>
            </w:r>
          </w:p>
        </w:tc>
      </w:tr>
    </w:tbl>
    <w:p w:rsidR="00FC4875" w:rsidRDefault="00FC4875" w:rsidP="00FC4875">
      <w:pPr>
        <w:jc w:val="center"/>
      </w:pPr>
    </w:p>
    <w:p w:rsidR="00D65BF9" w:rsidRDefault="00FC4875" w:rsidP="00FC4875">
      <w:pPr>
        <w:jc w:val="center"/>
      </w:pPr>
      <w:r>
        <w:rPr>
          <w:noProof/>
        </w:rPr>
        <w:drawing>
          <wp:inline distT="0" distB="0" distL="0" distR="0">
            <wp:extent cx="4905375" cy="24384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C4875" w:rsidRDefault="00FC4875"/>
    <w:p w:rsidR="00A517F0" w:rsidRDefault="00FD6199">
      <w:pPr>
        <w:rPr>
          <w:b/>
        </w:rPr>
      </w:pPr>
      <w:r>
        <w:rPr>
          <w:b/>
        </w:rPr>
        <w:lastRenderedPageBreak/>
        <w:t>1</w:t>
      </w:r>
      <w:r w:rsidR="00A517F0">
        <w:rPr>
          <w:b/>
        </w:rPr>
        <w:t>.  At alpha=0.05, perform a chi-square independence test to determine whether the variables region and age are independent.  What can you conclude?</w:t>
      </w:r>
    </w:p>
    <w:p w:rsidR="00A517F0" w:rsidRDefault="00FD6199">
      <w:pPr>
        <w:rPr>
          <w:b/>
        </w:rPr>
      </w:pPr>
      <w:r>
        <w:rPr>
          <w:b/>
        </w:rPr>
        <w:t>2</w:t>
      </w:r>
      <w:r w:rsidR="00A517F0">
        <w:rPr>
          <w:b/>
        </w:rPr>
        <w:t>.  Compare the distribution of the sample of motor vehicle fatalities from the eastern United States with the National distribution.  What can you conclude?</w:t>
      </w:r>
    </w:p>
    <w:p w:rsidR="00A517F0" w:rsidRDefault="00FD6199">
      <w:pPr>
        <w:rPr>
          <w:b/>
        </w:rPr>
      </w:pPr>
      <w:r>
        <w:rPr>
          <w:b/>
        </w:rPr>
        <w:t>3</w:t>
      </w:r>
      <w:r w:rsidR="00A517F0">
        <w:rPr>
          <w:b/>
        </w:rPr>
        <w:t>.  Compare the distribution of the sample of motor vehicle fatalities from the United States with the national distribution.  What can you conclude?</w:t>
      </w:r>
    </w:p>
    <w:p w:rsidR="00A517F0" w:rsidRDefault="00FD6199">
      <w:pPr>
        <w:rPr>
          <w:b/>
        </w:rPr>
      </w:pPr>
      <w:r>
        <w:rPr>
          <w:b/>
        </w:rPr>
        <w:t>4</w:t>
      </w:r>
      <w:r w:rsidR="00A517F0">
        <w:rPr>
          <w:b/>
        </w:rPr>
        <w:t>.  Compare the distribution of the sample of motor vehicle fatalities from the western United States with the national distribution. What can you conclude?</w:t>
      </w:r>
    </w:p>
    <w:p w:rsidR="00A517F0" w:rsidRPr="00A517F0" w:rsidRDefault="00A517F0">
      <w:pPr>
        <w:rPr>
          <w:b/>
        </w:rPr>
      </w:pPr>
    </w:p>
    <w:sectPr w:rsidR="00A517F0" w:rsidRPr="00A517F0" w:rsidSect="006A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7F0"/>
    <w:rsid w:val="002D66ED"/>
    <w:rsid w:val="006A55D6"/>
    <w:rsid w:val="007C149E"/>
    <w:rsid w:val="007C27B8"/>
    <w:rsid w:val="00817B92"/>
    <w:rsid w:val="00981CDE"/>
    <w:rsid w:val="00A517F0"/>
    <w:rsid w:val="00AC4265"/>
    <w:rsid w:val="00AD5E9C"/>
    <w:rsid w:val="00BB7FE8"/>
    <w:rsid w:val="00C715A8"/>
    <w:rsid w:val="00D65BF9"/>
    <w:rsid w:val="00FC4875"/>
    <w:rsid w:val="00FD6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817B9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FC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US Distribution of Traffic Fatalities</a:t>
            </a:r>
          </a:p>
        </c:rich>
      </c:tx>
      <c:layout/>
    </c:title>
    <c:plotArea>
      <c:layout/>
      <c:pieChart>
        <c:varyColors val="1"/>
        <c:ser>
          <c:idx val="0"/>
          <c:order val="0"/>
          <c:tx>
            <c:strRef>
              <c:f>Sheet1!$B$1</c:f>
              <c:strCache>
                <c:ptCount val="1"/>
                <c:pt idx="0">
                  <c:v>Sales</c:v>
                </c:pt>
              </c:strCache>
            </c:strRef>
          </c:tx>
          <c:dLbls>
            <c:showPercent val="1"/>
            <c:showLeaderLines val="1"/>
          </c:dLbls>
          <c:cat>
            <c:strRef>
              <c:f>Sheet1!$A$2:$A$9</c:f>
              <c:strCache>
                <c:ptCount val="8"/>
                <c:pt idx="0">
                  <c:v>Under 16</c:v>
                </c:pt>
                <c:pt idx="1">
                  <c:v>16-24</c:v>
                </c:pt>
                <c:pt idx="2">
                  <c:v>25-34</c:v>
                </c:pt>
                <c:pt idx="3">
                  <c:v>35-44</c:v>
                </c:pt>
                <c:pt idx="4">
                  <c:v>45-54</c:v>
                </c:pt>
                <c:pt idx="5">
                  <c:v>55-64</c:v>
                </c:pt>
                <c:pt idx="6">
                  <c:v>65-74</c:v>
                </c:pt>
                <c:pt idx="7">
                  <c:v>75+</c:v>
                </c:pt>
              </c:strCache>
            </c:strRef>
          </c:cat>
          <c:val>
            <c:numRef>
              <c:f>Sheet1!$B$2:$B$9</c:f>
              <c:numCache>
                <c:formatCode>0%</c:formatCode>
                <c:ptCount val="8"/>
                <c:pt idx="0">
                  <c:v>0.05</c:v>
                </c:pt>
                <c:pt idx="1">
                  <c:v>0.24</c:v>
                </c:pt>
                <c:pt idx="2">
                  <c:v>0.16</c:v>
                </c:pt>
                <c:pt idx="3">
                  <c:v>0.15</c:v>
                </c:pt>
                <c:pt idx="4">
                  <c:v>0.14000000000000001</c:v>
                </c:pt>
                <c:pt idx="5">
                  <c:v>0.1</c:v>
                </c:pt>
                <c:pt idx="6">
                  <c:v>7.0000000000000007E-2</c:v>
                </c:pt>
                <c:pt idx="7">
                  <c:v>0.09</c:v>
                </c:pt>
              </c:numCache>
            </c:numRef>
          </c:val>
        </c:ser>
        <c:dLbls>
          <c:showPercent val="1"/>
        </c:dLbls>
        <c:firstSliceAng val="0"/>
      </c:pieChart>
    </c:plotArea>
    <c:legend>
      <c:legendPos val="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dc:creator>
  <cp:lastModifiedBy>Monster</cp:lastModifiedBy>
  <cp:revision>4</cp:revision>
  <dcterms:created xsi:type="dcterms:W3CDTF">2009-10-14T14:22:00Z</dcterms:created>
  <dcterms:modified xsi:type="dcterms:W3CDTF">2009-10-14T14:23:00Z</dcterms:modified>
</cp:coreProperties>
</file>