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AD" w:rsidRPr="00F0746F" w:rsidRDefault="00B645ED" w:rsidP="00763D9F">
      <w:pPr>
        <w:pStyle w:val="ListParagraph"/>
        <w:tabs>
          <w:tab w:val="left" w:pos="1239"/>
        </w:tabs>
        <w:ind w:left="180"/>
        <w:jc w:val="both"/>
        <w:rPr>
          <w:rFonts w:ascii="Times New Roman" w:hAnsi="Times New Roman" w:cs="Times New Roman"/>
          <w:sz w:val="24"/>
          <w:szCs w:val="24"/>
        </w:rPr>
      </w:pPr>
      <w:r w:rsidRPr="00F0746F">
        <w:rPr>
          <w:rFonts w:ascii="Times New Roman" w:hAnsi="Times New Roman" w:cs="Times New Roman"/>
          <w:b/>
          <w:sz w:val="24"/>
          <w:szCs w:val="24"/>
        </w:rPr>
        <w:t>Sell or process further</w:t>
      </w:r>
      <w:r w:rsidRPr="00F0746F">
        <w:rPr>
          <w:rFonts w:ascii="Times New Roman" w:hAnsi="Times New Roman" w:cs="Times New Roman"/>
          <w:sz w:val="24"/>
          <w:szCs w:val="24"/>
        </w:rPr>
        <w:t xml:space="preserve"> (adapted from CMA exam) </w:t>
      </w:r>
      <w:proofErr w:type="gramStart"/>
      <w:r w:rsidRPr="00F0746F">
        <w:rPr>
          <w:rFonts w:ascii="Times New Roman" w:hAnsi="Times New Roman" w:cs="Times New Roman"/>
          <w:sz w:val="24"/>
          <w:szCs w:val="24"/>
        </w:rPr>
        <w:t>The</w:t>
      </w:r>
      <w:proofErr w:type="gramEnd"/>
      <w:r w:rsidRPr="00F0746F">
        <w:rPr>
          <w:rFonts w:ascii="Times New Roman" w:hAnsi="Times New Roman" w:cs="Times New Roman"/>
          <w:sz w:val="24"/>
          <w:szCs w:val="24"/>
        </w:rPr>
        <w:t xml:space="preserve"> department of Biggs Company is considering a proposal to install a third production department within its exiting factory building. With the company’s present production setup, 200.000 pounds per year of direct materials pass through Department 1 to Produce </w:t>
      </w:r>
      <w:r w:rsidR="00370735" w:rsidRPr="00F0746F">
        <w:rPr>
          <w:rFonts w:ascii="Times New Roman" w:hAnsi="Times New Roman" w:cs="Times New Roman"/>
          <w:sz w:val="24"/>
          <w:szCs w:val="24"/>
        </w:rPr>
        <w:t xml:space="preserve">100,000 pounds each of the materials A and B. Material </w:t>
      </w:r>
      <w:proofErr w:type="gramStart"/>
      <w:r w:rsidR="00370735" w:rsidRPr="00F0746F">
        <w:rPr>
          <w:rFonts w:ascii="Times New Roman" w:hAnsi="Times New Roman" w:cs="Times New Roman"/>
          <w:sz w:val="24"/>
          <w:szCs w:val="24"/>
        </w:rPr>
        <w:t>A</w:t>
      </w:r>
      <w:proofErr w:type="gramEnd"/>
      <w:r w:rsidR="00370735" w:rsidRPr="00F0746F">
        <w:rPr>
          <w:rFonts w:ascii="Times New Roman" w:hAnsi="Times New Roman" w:cs="Times New Roman"/>
          <w:sz w:val="24"/>
          <w:szCs w:val="24"/>
        </w:rPr>
        <w:t xml:space="preserve"> then passes through Department 2 to yield 100,000 pounds of product</w:t>
      </w:r>
      <w:r w:rsidR="001C0AAD" w:rsidRPr="00F0746F">
        <w:rPr>
          <w:rFonts w:ascii="Times New Roman" w:hAnsi="Times New Roman" w:cs="Times New Roman"/>
          <w:sz w:val="24"/>
          <w:szCs w:val="24"/>
        </w:rPr>
        <w:t xml:space="preserve"> C. One hundred thousands pounds of material B are presently being sold “as is” at a price of $20.25 per pound. </w:t>
      </w:r>
    </w:p>
    <w:p w:rsidR="00F0746F" w:rsidRDefault="00F0746F" w:rsidP="00F0746F">
      <w:pPr>
        <w:pStyle w:val="ListParagraph"/>
        <w:tabs>
          <w:tab w:val="left" w:pos="1239"/>
        </w:tabs>
        <w:ind w:left="630"/>
        <w:jc w:val="both"/>
        <w:rPr>
          <w:rFonts w:ascii="Times New Roman" w:hAnsi="Times New Roman" w:cs="Times New Roman"/>
          <w:sz w:val="24"/>
          <w:szCs w:val="24"/>
        </w:rPr>
      </w:pPr>
      <w:r w:rsidRPr="00F0746F">
        <w:rPr>
          <w:rFonts w:ascii="Times New Roman" w:hAnsi="Times New Roman" w:cs="Times New Roman"/>
          <w:sz w:val="24"/>
          <w:szCs w:val="24"/>
        </w:rPr>
        <w:t>The costs for Biggs Company are as follows:</w:t>
      </w:r>
    </w:p>
    <w:p w:rsidR="00822FA6" w:rsidRDefault="00822FA6" w:rsidP="00F0746F">
      <w:pPr>
        <w:pStyle w:val="ListParagraph"/>
        <w:tabs>
          <w:tab w:val="left" w:pos="1239"/>
        </w:tabs>
        <w:ind w:left="630"/>
        <w:jc w:val="both"/>
        <w:rPr>
          <w:rFonts w:ascii="Times New Roman" w:hAnsi="Times New Roman" w:cs="Times New Roman"/>
          <w:sz w:val="24"/>
          <w:szCs w:val="24"/>
        </w:rPr>
      </w:pPr>
    </w:p>
    <w:p w:rsidR="009F1BA2" w:rsidRPr="007C1BC6" w:rsidRDefault="007C1BC6" w:rsidP="00763D9F">
      <w:pPr>
        <w:pStyle w:val="ListParagraph"/>
        <w:tabs>
          <w:tab w:val="left" w:pos="1239"/>
        </w:tabs>
        <w:ind w:left="0" w:firstLine="180"/>
        <w:jc w:val="both"/>
        <w:rPr>
          <w:rFonts w:ascii="Times New Roman" w:hAnsi="Times New Roman" w:cs="Times New Roman"/>
          <w:sz w:val="24"/>
          <w:szCs w:val="24"/>
        </w:rPr>
      </w:pPr>
      <w:r>
        <w:rPr>
          <w:rFonts w:ascii="Times New Roman" w:hAnsi="Times New Roman" w:cs="Times New Roman"/>
          <w:i/>
          <w:sz w:val="24"/>
          <w:szCs w:val="24"/>
        </w:rPr>
        <w:t>Cost per pound</w:t>
      </w:r>
    </w:p>
    <w:tbl>
      <w:tblPr>
        <w:tblStyle w:val="LightShading-Accent11"/>
        <w:tblW w:w="5240" w:type="pct"/>
        <w:tblLook w:val="0660"/>
      </w:tblPr>
      <w:tblGrid>
        <w:gridCol w:w="5195"/>
        <w:gridCol w:w="1932"/>
        <w:gridCol w:w="1663"/>
        <w:gridCol w:w="1529"/>
      </w:tblGrid>
      <w:tr w:rsidR="007C1BC6" w:rsidRPr="00D84B41" w:rsidTr="00880C1A">
        <w:trPr>
          <w:cnfStyle w:val="100000000000"/>
          <w:trHeight w:val="2"/>
        </w:trPr>
        <w:tc>
          <w:tcPr>
            <w:tcW w:w="2517" w:type="pct"/>
            <w:noWrap/>
          </w:tcPr>
          <w:p w:rsidR="00822FA6" w:rsidRPr="00D84B41" w:rsidRDefault="00822FA6">
            <w:pPr>
              <w:rPr>
                <w:color w:val="auto"/>
                <w:sz w:val="24"/>
                <w:szCs w:val="24"/>
              </w:rPr>
            </w:pPr>
          </w:p>
        </w:tc>
        <w:tc>
          <w:tcPr>
            <w:tcW w:w="936" w:type="pct"/>
          </w:tcPr>
          <w:p w:rsidR="00822FA6" w:rsidRPr="00D84B41" w:rsidRDefault="00822FA6" w:rsidP="00814883">
            <w:pPr>
              <w:ind w:left="-245"/>
              <w:jc w:val="center"/>
              <w:rPr>
                <w:color w:val="auto"/>
                <w:sz w:val="24"/>
                <w:szCs w:val="24"/>
              </w:rPr>
            </w:pPr>
            <w:r w:rsidRPr="00D84B41">
              <w:rPr>
                <w:color w:val="auto"/>
                <w:sz w:val="24"/>
                <w:szCs w:val="24"/>
              </w:rPr>
              <w:t>Department 1</w:t>
            </w:r>
          </w:p>
          <w:p w:rsidR="00822FA6" w:rsidRPr="00D84B41" w:rsidRDefault="00822FA6" w:rsidP="00814883">
            <w:pPr>
              <w:ind w:left="-245"/>
              <w:jc w:val="center"/>
              <w:rPr>
                <w:color w:val="auto"/>
                <w:sz w:val="24"/>
                <w:szCs w:val="24"/>
                <w:vertAlign w:val="superscript"/>
              </w:rPr>
            </w:pPr>
            <w:r w:rsidRPr="00D84B41">
              <w:rPr>
                <w:color w:val="auto"/>
                <w:sz w:val="24"/>
                <w:szCs w:val="24"/>
              </w:rPr>
              <w:t>(</w:t>
            </w:r>
            <w:r w:rsidR="00814883">
              <w:rPr>
                <w:color w:val="auto"/>
                <w:sz w:val="24"/>
                <w:szCs w:val="24"/>
              </w:rPr>
              <w:t xml:space="preserve"> </w:t>
            </w:r>
            <w:r w:rsidRPr="00D84B41">
              <w:rPr>
                <w:color w:val="auto"/>
                <w:sz w:val="24"/>
                <w:szCs w:val="24"/>
              </w:rPr>
              <w:t>material A and B)</w:t>
            </w:r>
            <w:r w:rsidRPr="00D84B41">
              <w:rPr>
                <w:color w:val="auto"/>
                <w:sz w:val="24"/>
                <w:szCs w:val="24"/>
                <w:vertAlign w:val="superscript"/>
              </w:rPr>
              <w:t>a</w:t>
            </w:r>
          </w:p>
        </w:tc>
        <w:tc>
          <w:tcPr>
            <w:tcW w:w="806" w:type="pct"/>
          </w:tcPr>
          <w:p w:rsidR="00822FA6" w:rsidRPr="00D84B41" w:rsidRDefault="00822FA6" w:rsidP="00822FA6">
            <w:pPr>
              <w:jc w:val="center"/>
              <w:rPr>
                <w:color w:val="auto"/>
                <w:sz w:val="24"/>
                <w:szCs w:val="24"/>
              </w:rPr>
            </w:pPr>
            <w:r w:rsidRPr="00D84B41">
              <w:rPr>
                <w:color w:val="auto"/>
                <w:sz w:val="24"/>
                <w:szCs w:val="24"/>
              </w:rPr>
              <w:t>Department 2</w:t>
            </w:r>
          </w:p>
          <w:p w:rsidR="00822FA6" w:rsidRPr="00D84B41" w:rsidRDefault="00822FA6" w:rsidP="00763D9F">
            <w:pPr>
              <w:ind w:right="57"/>
              <w:jc w:val="center"/>
              <w:rPr>
                <w:color w:val="auto"/>
                <w:sz w:val="24"/>
                <w:szCs w:val="24"/>
                <w:vertAlign w:val="superscript"/>
              </w:rPr>
            </w:pPr>
            <w:r w:rsidRPr="00D84B41">
              <w:rPr>
                <w:color w:val="auto"/>
                <w:sz w:val="24"/>
                <w:szCs w:val="24"/>
              </w:rPr>
              <w:t>(Product C)</w:t>
            </w:r>
            <w:r w:rsidRPr="00D84B41">
              <w:rPr>
                <w:color w:val="auto"/>
                <w:sz w:val="24"/>
                <w:szCs w:val="24"/>
                <w:vertAlign w:val="superscript"/>
              </w:rPr>
              <w:t>a</w:t>
            </w:r>
          </w:p>
        </w:tc>
        <w:tc>
          <w:tcPr>
            <w:tcW w:w="741" w:type="pct"/>
          </w:tcPr>
          <w:p w:rsidR="00822FA6" w:rsidRPr="00D84B41" w:rsidRDefault="00822FA6" w:rsidP="00B14D91">
            <w:pPr>
              <w:jc w:val="center"/>
              <w:rPr>
                <w:color w:val="auto"/>
                <w:sz w:val="24"/>
                <w:szCs w:val="24"/>
              </w:rPr>
            </w:pPr>
          </w:p>
          <w:p w:rsidR="00822FA6" w:rsidRPr="00D84B41" w:rsidRDefault="00822FA6" w:rsidP="00B14D91">
            <w:pPr>
              <w:jc w:val="center"/>
              <w:rPr>
                <w:color w:val="auto"/>
                <w:sz w:val="24"/>
                <w:szCs w:val="24"/>
              </w:rPr>
            </w:pPr>
            <w:r w:rsidRPr="00D84B41">
              <w:rPr>
                <w:color w:val="auto"/>
                <w:sz w:val="24"/>
                <w:szCs w:val="24"/>
              </w:rPr>
              <w:t>(Material B)</w:t>
            </w:r>
            <w:r w:rsidRPr="00D84B41">
              <w:rPr>
                <w:color w:val="auto"/>
                <w:sz w:val="24"/>
                <w:szCs w:val="24"/>
                <w:vertAlign w:val="superscript"/>
              </w:rPr>
              <w:t>a</w:t>
            </w:r>
          </w:p>
        </w:tc>
      </w:tr>
      <w:tr w:rsidR="007C1BC6" w:rsidRPr="00D84B41" w:rsidTr="00880C1A">
        <w:trPr>
          <w:trHeight w:val="7"/>
        </w:trPr>
        <w:tc>
          <w:tcPr>
            <w:tcW w:w="2517" w:type="pct"/>
            <w:noWrap/>
          </w:tcPr>
          <w:p w:rsidR="00822FA6" w:rsidRPr="00D84B41" w:rsidRDefault="00822FA6">
            <w:pPr>
              <w:rPr>
                <w:color w:val="auto"/>
                <w:sz w:val="24"/>
                <w:szCs w:val="24"/>
              </w:rPr>
            </w:pPr>
          </w:p>
          <w:p w:rsidR="00822FA6" w:rsidRPr="00D84B41" w:rsidRDefault="00822FA6">
            <w:pPr>
              <w:rPr>
                <w:color w:val="auto"/>
                <w:sz w:val="24"/>
                <w:szCs w:val="24"/>
              </w:rPr>
            </w:pPr>
            <w:r w:rsidRPr="00D84B41">
              <w:rPr>
                <w:color w:val="auto"/>
                <w:sz w:val="24"/>
                <w:szCs w:val="24"/>
              </w:rPr>
              <w:t>Prior Department cost ……………………………………</w:t>
            </w:r>
          </w:p>
          <w:p w:rsidR="00B14D91" w:rsidRPr="00D84B41" w:rsidRDefault="00B14D91">
            <w:pPr>
              <w:rPr>
                <w:color w:val="auto"/>
                <w:sz w:val="24"/>
                <w:szCs w:val="24"/>
              </w:rPr>
            </w:pPr>
            <w:r w:rsidRPr="00D84B41">
              <w:rPr>
                <w:color w:val="auto"/>
                <w:sz w:val="24"/>
                <w:szCs w:val="24"/>
              </w:rPr>
              <w:t>Direct Material…………………………………………………</w:t>
            </w:r>
          </w:p>
          <w:p w:rsidR="00B14D91" w:rsidRPr="00D84B41" w:rsidRDefault="00B14D91">
            <w:pPr>
              <w:rPr>
                <w:color w:val="auto"/>
                <w:sz w:val="24"/>
                <w:szCs w:val="24"/>
              </w:rPr>
            </w:pPr>
            <w:r w:rsidRPr="00D84B41">
              <w:rPr>
                <w:color w:val="auto"/>
                <w:sz w:val="24"/>
                <w:szCs w:val="24"/>
              </w:rPr>
              <w:t>Direct Labor………………………………………………………</w:t>
            </w:r>
          </w:p>
          <w:p w:rsidR="00B14D91" w:rsidRPr="00D84B41" w:rsidRDefault="00B14D91">
            <w:pPr>
              <w:rPr>
                <w:color w:val="auto"/>
                <w:sz w:val="24"/>
                <w:szCs w:val="24"/>
              </w:rPr>
            </w:pPr>
            <w:r w:rsidRPr="00D84B41">
              <w:rPr>
                <w:color w:val="auto"/>
                <w:sz w:val="24"/>
                <w:szCs w:val="24"/>
              </w:rPr>
              <w:t>Variable Overhead……………………………………………</w:t>
            </w:r>
          </w:p>
          <w:p w:rsidR="00B14D91" w:rsidRPr="00D84B41" w:rsidRDefault="00B14D91">
            <w:pPr>
              <w:rPr>
                <w:color w:val="auto"/>
                <w:sz w:val="24"/>
                <w:szCs w:val="24"/>
              </w:rPr>
            </w:pPr>
            <w:r w:rsidRPr="00D84B41">
              <w:rPr>
                <w:color w:val="auto"/>
                <w:sz w:val="24"/>
                <w:szCs w:val="24"/>
              </w:rPr>
              <w:t>Fixed Overhead:</w:t>
            </w:r>
          </w:p>
          <w:p w:rsidR="00B14D91" w:rsidRPr="00D84B41" w:rsidRDefault="00B14D91" w:rsidP="00B14D91">
            <w:pPr>
              <w:rPr>
                <w:color w:val="auto"/>
                <w:sz w:val="24"/>
                <w:szCs w:val="24"/>
              </w:rPr>
            </w:pPr>
            <w:r w:rsidRPr="00D84B41">
              <w:rPr>
                <w:color w:val="auto"/>
                <w:sz w:val="24"/>
                <w:szCs w:val="24"/>
              </w:rPr>
              <w:t xml:space="preserve">      Direct (Total = $675,000)……………………………</w:t>
            </w:r>
          </w:p>
        </w:tc>
        <w:tc>
          <w:tcPr>
            <w:tcW w:w="936" w:type="pct"/>
            <w:tcBorders>
              <w:top w:val="single" w:sz="8" w:space="0" w:color="4F81BD" w:themeColor="accent1"/>
              <w:bottom w:val="single" w:sz="4" w:space="0" w:color="auto"/>
            </w:tcBorders>
          </w:tcPr>
          <w:p w:rsidR="00822FA6" w:rsidRPr="00880C1A" w:rsidRDefault="00822FA6" w:rsidP="002E32B7">
            <w:pPr>
              <w:jc w:val="center"/>
              <w:rPr>
                <w:rStyle w:val="SubtleEmphasis"/>
                <w:color w:val="auto"/>
                <w:sz w:val="24"/>
                <w:szCs w:val="24"/>
              </w:rPr>
            </w:pPr>
          </w:p>
          <w:p w:rsidR="00822FA6" w:rsidRPr="00880C1A" w:rsidRDefault="002E32B7" w:rsidP="002E32B7">
            <w:pPr>
              <w:jc w:val="center"/>
              <w:rPr>
                <w:rStyle w:val="SubtleEmphasis"/>
                <w:color w:val="auto"/>
                <w:sz w:val="24"/>
                <w:szCs w:val="24"/>
              </w:rPr>
            </w:pPr>
            <w:r w:rsidRPr="00880C1A">
              <w:rPr>
                <w:rStyle w:val="SubtleEmphasis"/>
                <w:color w:val="auto"/>
                <w:sz w:val="24"/>
                <w:szCs w:val="24"/>
              </w:rPr>
              <w:t>$</w:t>
            </w:r>
            <w:r w:rsidR="00822FA6" w:rsidRPr="00880C1A">
              <w:rPr>
                <w:rStyle w:val="SubtleEmphasis"/>
                <w:color w:val="auto"/>
                <w:sz w:val="24"/>
                <w:szCs w:val="24"/>
              </w:rPr>
              <w:t xml:space="preserve">  -</w:t>
            </w:r>
          </w:p>
          <w:p w:rsidR="00B14D91" w:rsidRPr="00880C1A" w:rsidRDefault="00B14D91" w:rsidP="002E32B7">
            <w:pPr>
              <w:jc w:val="center"/>
              <w:rPr>
                <w:rStyle w:val="SubtleEmphasis"/>
                <w:i w:val="0"/>
                <w:color w:val="auto"/>
                <w:sz w:val="24"/>
                <w:szCs w:val="24"/>
              </w:rPr>
            </w:pPr>
            <w:r w:rsidRPr="00880C1A">
              <w:rPr>
                <w:rStyle w:val="SubtleEmphasis"/>
                <w:i w:val="0"/>
                <w:color w:val="auto"/>
                <w:sz w:val="24"/>
                <w:szCs w:val="24"/>
              </w:rPr>
              <w:t>21.00</w:t>
            </w:r>
          </w:p>
          <w:p w:rsidR="00B14D91" w:rsidRPr="00880C1A" w:rsidRDefault="00B14D91" w:rsidP="002E32B7">
            <w:pPr>
              <w:jc w:val="center"/>
              <w:rPr>
                <w:rStyle w:val="SubtleEmphasis"/>
                <w:i w:val="0"/>
                <w:color w:val="auto"/>
                <w:sz w:val="24"/>
                <w:szCs w:val="24"/>
              </w:rPr>
            </w:pPr>
            <w:r w:rsidRPr="00880C1A">
              <w:rPr>
                <w:rStyle w:val="SubtleEmphasis"/>
                <w:i w:val="0"/>
                <w:color w:val="auto"/>
                <w:sz w:val="24"/>
                <w:szCs w:val="24"/>
              </w:rPr>
              <w:t>7.00</w:t>
            </w:r>
          </w:p>
          <w:p w:rsidR="00B14D91" w:rsidRPr="00880C1A" w:rsidRDefault="00B14D91" w:rsidP="002E32B7">
            <w:pPr>
              <w:jc w:val="center"/>
              <w:rPr>
                <w:rStyle w:val="SubtleEmphasis"/>
                <w:i w:val="0"/>
                <w:color w:val="auto"/>
                <w:sz w:val="24"/>
                <w:szCs w:val="24"/>
              </w:rPr>
            </w:pPr>
            <w:r w:rsidRPr="00880C1A">
              <w:rPr>
                <w:rStyle w:val="SubtleEmphasis"/>
                <w:i w:val="0"/>
                <w:color w:val="auto"/>
                <w:sz w:val="24"/>
                <w:szCs w:val="24"/>
              </w:rPr>
              <w:t>3.00</w:t>
            </w:r>
          </w:p>
          <w:p w:rsidR="00B14D91" w:rsidRPr="00880C1A" w:rsidRDefault="00B14D91" w:rsidP="002E32B7">
            <w:pPr>
              <w:jc w:val="center"/>
              <w:rPr>
                <w:rStyle w:val="SubtleEmphasis"/>
                <w:i w:val="0"/>
                <w:color w:val="auto"/>
                <w:sz w:val="24"/>
                <w:szCs w:val="24"/>
              </w:rPr>
            </w:pPr>
          </w:p>
          <w:p w:rsidR="00B14D91" w:rsidRPr="00880C1A" w:rsidRDefault="00B14D91" w:rsidP="00CE5A8C">
            <w:pPr>
              <w:pBdr>
                <w:bottom w:val="single" w:sz="4" w:space="1" w:color="auto"/>
              </w:pBdr>
              <w:jc w:val="center"/>
              <w:rPr>
                <w:rStyle w:val="SubtleEmphasis"/>
                <w:i w:val="0"/>
                <w:color w:val="auto"/>
                <w:sz w:val="24"/>
                <w:szCs w:val="24"/>
              </w:rPr>
            </w:pPr>
            <w:r w:rsidRPr="00880C1A">
              <w:rPr>
                <w:rStyle w:val="SubtleEmphasis"/>
                <w:i w:val="0"/>
                <w:color w:val="auto"/>
                <w:sz w:val="24"/>
                <w:szCs w:val="24"/>
              </w:rPr>
              <w:t>2.25</w:t>
            </w:r>
          </w:p>
          <w:p w:rsidR="00B14D91" w:rsidRPr="00880C1A" w:rsidRDefault="00B14D91" w:rsidP="002E32B7">
            <w:pPr>
              <w:jc w:val="center"/>
              <w:rPr>
                <w:rStyle w:val="SubtleEmphasis"/>
                <w:color w:val="auto"/>
                <w:sz w:val="24"/>
                <w:szCs w:val="24"/>
              </w:rPr>
            </w:pPr>
            <w:r w:rsidRPr="00880C1A">
              <w:rPr>
                <w:rStyle w:val="SubtleEmphasis"/>
                <w:i w:val="0"/>
                <w:color w:val="auto"/>
                <w:sz w:val="24"/>
                <w:szCs w:val="24"/>
              </w:rPr>
              <w:t>$33.25</w:t>
            </w:r>
          </w:p>
        </w:tc>
        <w:tc>
          <w:tcPr>
            <w:tcW w:w="806" w:type="pct"/>
            <w:tcBorders>
              <w:top w:val="single" w:sz="8" w:space="0" w:color="4F81BD" w:themeColor="accent1"/>
              <w:bottom w:val="single" w:sz="4" w:space="0" w:color="auto"/>
            </w:tcBorders>
          </w:tcPr>
          <w:p w:rsidR="002E32B7" w:rsidRPr="00880C1A" w:rsidRDefault="002E32B7" w:rsidP="002E32B7">
            <w:pPr>
              <w:jc w:val="center"/>
              <w:rPr>
                <w:color w:val="auto"/>
                <w:sz w:val="24"/>
                <w:szCs w:val="24"/>
              </w:rPr>
            </w:pPr>
          </w:p>
          <w:p w:rsidR="00822FA6" w:rsidRPr="00880C1A" w:rsidRDefault="002E32B7" w:rsidP="002E32B7">
            <w:pPr>
              <w:jc w:val="center"/>
              <w:rPr>
                <w:color w:val="auto"/>
                <w:sz w:val="24"/>
                <w:szCs w:val="24"/>
              </w:rPr>
            </w:pPr>
            <w:r w:rsidRPr="00880C1A">
              <w:rPr>
                <w:color w:val="auto"/>
                <w:sz w:val="24"/>
                <w:szCs w:val="24"/>
              </w:rPr>
              <w:t>$33.25</w:t>
            </w:r>
          </w:p>
          <w:p w:rsidR="00B14D91" w:rsidRPr="00880C1A" w:rsidRDefault="00B14D91" w:rsidP="002E32B7">
            <w:pPr>
              <w:jc w:val="center"/>
              <w:rPr>
                <w:color w:val="auto"/>
                <w:sz w:val="24"/>
                <w:szCs w:val="24"/>
              </w:rPr>
            </w:pPr>
            <w:r w:rsidRPr="00880C1A">
              <w:rPr>
                <w:color w:val="auto"/>
                <w:sz w:val="24"/>
                <w:szCs w:val="24"/>
              </w:rPr>
              <w:t>-</w:t>
            </w:r>
          </w:p>
          <w:p w:rsidR="00B14D91" w:rsidRPr="00880C1A" w:rsidRDefault="00B14D91" w:rsidP="002E32B7">
            <w:pPr>
              <w:jc w:val="center"/>
              <w:rPr>
                <w:color w:val="auto"/>
                <w:sz w:val="24"/>
                <w:szCs w:val="24"/>
              </w:rPr>
            </w:pPr>
            <w:r w:rsidRPr="00880C1A">
              <w:rPr>
                <w:color w:val="auto"/>
                <w:sz w:val="24"/>
                <w:szCs w:val="24"/>
              </w:rPr>
              <w:t>12.00</w:t>
            </w:r>
          </w:p>
          <w:p w:rsidR="00B14D91" w:rsidRPr="00880C1A" w:rsidRDefault="00B14D91" w:rsidP="002E32B7">
            <w:pPr>
              <w:jc w:val="center"/>
              <w:rPr>
                <w:color w:val="auto"/>
                <w:sz w:val="24"/>
                <w:szCs w:val="24"/>
              </w:rPr>
            </w:pPr>
            <w:r w:rsidRPr="00880C1A">
              <w:rPr>
                <w:color w:val="auto"/>
                <w:sz w:val="24"/>
                <w:szCs w:val="24"/>
              </w:rPr>
              <w:t>5.00</w:t>
            </w:r>
          </w:p>
          <w:p w:rsidR="00B14D91" w:rsidRPr="00880C1A" w:rsidRDefault="00B14D91" w:rsidP="002E32B7">
            <w:pPr>
              <w:jc w:val="center"/>
              <w:rPr>
                <w:color w:val="auto"/>
                <w:sz w:val="24"/>
                <w:szCs w:val="24"/>
              </w:rPr>
            </w:pPr>
          </w:p>
          <w:p w:rsidR="00B14D91" w:rsidRPr="00880C1A" w:rsidRDefault="00B14D91" w:rsidP="00CE5A8C">
            <w:pPr>
              <w:pBdr>
                <w:bottom w:val="single" w:sz="4" w:space="1" w:color="auto"/>
              </w:pBdr>
              <w:jc w:val="center"/>
              <w:rPr>
                <w:color w:val="auto"/>
                <w:sz w:val="24"/>
                <w:szCs w:val="24"/>
              </w:rPr>
            </w:pPr>
            <w:r w:rsidRPr="00880C1A">
              <w:rPr>
                <w:color w:val="auto"/>
                <w:sz w:val="24"/>
                <w:szCs w:val="24"/>
              </w:rPr>
              <w:t>2.25</w:t>
            </w:r>
          </w:p>
          <w:p w:rsidR="00B14D91" w:rsidRPr="00880C1A" w:rsidRDefault="00B14D91" w:rsidP="002E32B7">
            <w:pPr>
              <w:jc w:val="center"/>
              <w:rPr>
                <w:color w:val="auto"/>
                <w:sz w:val="24"/>
                <w:szCs w:val="24"/>
              </w:rPr>
            </w:pPr>
            <w:r w:rsidRPr="00880C1A">
              <w:rPr>
                <w:color w:val="auto"/>
                <w:sz w:val="24"/>
                <w:szCs w:val="24"/>
              </w:rPr>
              <w:t>$52.50</w:t>
            </w:r>
          </w:p>
        </w:tc>
        <w:tc>
          <w:tcPr>
            <w:tcW w:w="741" w:type="pct"/>
            <w:tcBorders>
              <w:top w:val="single" w:sz="8" w:space="0" w:color="4F81BD" w:themeColor="accent1"/>
              <w:bottom w:val="single" w:sz="4" w:space="0" w:color="auto"/>
            </w:tcBorders>
          </w:tcPr>
          <w:p w:rsidR="00822FA6" w:rsidRPr="00880C1A" w:rsidRDefault="00822FA6" w:rsidP="002E32B7">
            <w:pPr>
              <w:jc w:val="center"/>
              <w:rPr>
                <w:color w:val="auto"/>
                <w:sz w:val="24"/>
                <w:szCs w:val="24"/>
              </w:rPr>
            </w:pPr>
          </w:p>
          <w:p w:rsidR="002E32B7" w:rsidRPr="00880C1A" w:rsidRDefault="002E32B7" w:rsidP="002E32B7">
            <w:pPr>
              <w:jc w:val="center"/>
              <w:rPr>
                <w:color w:val="auto"/>
                <w:sz w:val="24"/>
                <w:szCs w:val="24"/>
              </w:rPr>
            </w:pPr>
            <w:r w:rsidRPr="00880C1A">
              <w:rPr>
                <w:color w:val="auto"/>
                <w:sz w:val="24"/>
                <w:szCs w:val="24"/>
              </w:rPr>
              <w:t>$33.25</w:t>
            </w:r>
          </w:p>
          <w:p w:rsidR="002E32B7" w:rsidRPr="00880C1A" w:rsidRDefault="002E32B7" w:rsidP="002E32B7">
            <w:pPr>
              <w:jc w:val="center"/>
              <w:rPr>
                <w:color w:val="auto"/>
                <w:sz w:val="24"/>
                <w:szCs w:val="24"/>
              </w:rPr>
            </w:pPr>
            <w:r w:rsidRPr="00880C1A">
              <w:rPr>
                <w:color w:val="auto"/>
                <w:sz w:val="24"/>
                <w:szCs w:val="24"/>
              </w:rPr>
              <w:t>-</w:t>
            </w:r>
          </w:p>
          <w:p w:rsidR="002E32B7" w:rsidRPr="00880C1A" w:rsidRDefault="002E32B7" w:rsidP="002E32B7">
            <w:pPr>
              <w:jc w:val="center"/>
              <w:rPr>
                <w:color w:val="auto"/>
                <w:sz w:val="24"/>
                <w:szCs w:val="24"/>
              </w:rPr>
            </w:pPr>
            <w:r w:rsidRPr="00880C1A">
              <w:rPr>
                <w:color w:val="auto"/>
                <w:sz w:val="24"/>
                <w:szCs w:val="24"/>
              </w:rPr>
              <w:t>-</w:t>
            </w:r>
          </w:p>
          <w:p w:rsidR="002E32B7" w:rsidRPr="00880C1A" w:rsidRDefault="002E32B7" w:rsidP="002E32B7">
            <w:pPr>
              <w:jc w:val="center"/>
              <w:rPr>
                <w:color w:val="auto"/>
                <w:sz w:val="24"/>
                <w:szCs w:val="24"/>
              </w:rPr>
            </w:pPr>
            <w:r w:rsidRPr="00880C1A">
              <w:rPr>
                <w:color w:val="auto"/>
                <w:sz w:val="24"/>
                <w:szCs w:val="24"/>
              </w:rPr>
              <w:t>-</w:t>
            </w:r>
          </w:p>
          <w:p w:rsidR="002E32B7" w:rsidRPr="00880C1A" w:rsidRDefault="002E32B7" w:rsidP="002E32B7">
            <w:pPr>
              <w:jc w:val="center"/>
              <w:rPr>
                <w:color w:val="auto"/>
                <w:sz w:val="24"/>
                <w:szCs w:val="24"/>
              </w:rPr>
            </w:pPr>
          </w:p>
          <w:p w:rsidR="002E32B7" w:rsidRPr="00880C1A" w:rsidRDefault="002E32B7" w:rsidP="00CE5A8C">
            <w:pPr>
              <w:pBdr>
                <w:bottom w:val="single" w:sz="4" w:space="1" w:color="auto"/>
              </w:pBdr>
              <w:jc w:val="center"/>
              <w:rPr>
                <w:color w:val="auto"/>
                <w:sz w:val="24"/>
                <w:szCs w:val="24"/>
              </w:rPr>
            </w:pPr>
            <w:r w:rsidRPr="00880C1A">
              <w:rPr>
                <w:color w:val="auto"/>
                <w:sz w:val="24"/>
                <w:szCs w:val="24"/>
              </w:rPr>
              <w:t>-</w:t>
            </w:r>
          </w:p>
          <w:p w:rsidR="002E32B7" w:rsidRPr="00880C1A" w:rsidRDefault="002E32B7" w:rsidP="002E32B7">
            <w:pPr>
              <w:jc w:val="center"/>
              <w:rPr>
                <w:color w:val="auto"/>
                <w:sz w:val="24"/>
                <w:szCs w:val="24"/>
              </w:rPr>
            </w:pPr>
            <w:r w:rsidRPr="00880C1A">
              <w:rPr>
                <w:color w:val="auto"/>
                <w:sz w:val="24"/>
                <w:szCs w:val="24"/>
              </w:rPr>
              <w:t>$33.25</w:t>
            </w:r>
          </w:p>
        </w:tc>
      </w:tr>
      <w:tr w:rsidR="007C1BC6" w:rsidRPr="00D84B41" w:rsidTr="00880C1A">
        <w:trPr>
          <w:trHeight w:val="43"/>
        </w:trPr>
        <w:tc>
          <w:tcPr>
            <w:tcW w:w="2517" w:type="pct"/>
            <w:noWrap/>
          </w:tcPr>
          <w:p w:rsidR="00CE5A8C" w:rsidRPr="00D84B41" w:rsidRDefault="00CE5A8C">
            <w:pPr>
              <w:rPr>
                <w:color w:val="auto"/>
              </w:rPr>
            </w:pPr>
          </w:p>
        </w:tc>
        <w:tc>
          <w:tcPr>
            <w:tcW w:w="936" w:type="pct"/>
            <w:tcBorders>
              <w:top w:val="single" w:sz="4" w:space="0" w:color="auto"/>
            </w:tcBorders>
          </w:tcPr>
          <w:p w:rsidR="00CE5A8C" w:rsidRPr="00880C1A" w:rsidRDefault="00CE5A8C">
            <w:pPr>
              <w:pStyle w:val="DecimalAligned"/>
              <w:rPr>
                <w:color w:val="auto"/>
              </w:rPr>
            </w:pPr>
          </w:p>
        </w:tc>
        <w:tc>
          <w:tcPr>
            <w:tcW w:w="806" w:type="pct"/>
            <w:tcBorders>
              <w:top w:val="single" w:sz="4" w:space="0" w:color="auto"/>
            </w:tcBorders>
          </w:tcPr>
          <w:p w:rsidR="00CE5A8C" w:rsidRPr="00880C1A" w:rsidRDefault="00CE5A8C">
            <w:pPr>
              <w:pStyle w:val="DecimalAligned"/>
              <w:rPr>
                <w:color w:val="auto"/>
              </w:rPr>
            </w:pPr>
          </w:p>
        </w:tc>
        <w:tc>
          <w:tcPr>
            <w:tcW w:w="741" w:type="pct"/>
            <w:tcBorders>
              <w:top w:val="single" w:sz="4" w:space="0" w:color="auto"/>
            </w:tcBorders>
          </w:tcPr>
          <w:p w:rsidR="00CE5A8C" w:rsidRPr="00880C1A" w:rsidRDefault="00CE5A8C">
            <w:pPr>
              <w:pStyle w:val="DecimalAligned"/>
              <w:rPr>
                <w:color w:val="auto"/>
              </w:rPr>
            </w:pPr>
          </w:p>
        </w:tc>
      </w:tr>
      <w:tr w:rsidR="00814883" w:rsidRPr="00D84B41" w:rsidTr="00814883">
        <w:trPr>
          <w:trHeight w:val="1"/>
        </w:trPr>
        <w:tc>
          <w:tcPr>
            <w:tcW w:w="2517" w:type="pct"/>
            <w:noWrap/>
          </w:tcPr>
          <w:p w:rsidR="00814883" w:rsidRPr="00D84B41" w:rsidRDefault="00814883">
            <w:pPr>
              <w:rPr>
                <w:color w:val="auto"/>
              </w:rPr>
            </w:pPr>
          </w:p>
        </w:tc>
        <w:tc>
          <w:tcPr>
            <w:tcW w:w="936" w:type="pct"/>
          </w:tcPr>
          <w:p w:rsidR="00814883" w:rsidRPr="00D84B41" w:rsidRDefault="00814883">
            <w:pPr>
              <w:pStyle w:val="DecimalAligned"/>
              <w:rPr>
                <w:color w:val="auto"/>
              </w:rPr>
            </w:pPr>
          </w:p>
        </w:tc>
        <w:tc>
          <w:tcPr>
            <w:tcW w:w="806" w:type="pct"/>
          </w:tcPr>
          <w:p w:rsidR="00814883" w:rsidRPr="00D84B41" w:rsidRDefault="00814883">
            <w:pPr>
              <w:pStyle w:val="DecimalAligned"/>
              <w:rPr>
                <w:color w:val="auto"/>
              </w:rPr>
            </w:pPr>
          </w:p>
        </w:tc>
        <w:tc>
          <w:tcPr>
            <w:tcW w:w="741" w:type="pct"/>
          </w:tcPr>
          <w:p w:rsidR="00814883" w:rsidRPr="00D84B41" w:rsidRDefault="00814883">
            <w:pPr>
              <w:pStyle w:val="DecimalAligned"/>
              <w:rPr>
                <w:color w:val="auto"/>
              </w:rPr>
            </w:pPr>
          </w:p>
        </w:tc>
      </w:tr>
      <w:tr w:rsidR="00814883" w:rsidRPr="00D84B41" w:rsidTr="00814883">
        <w:trPr>
          <w:cnfStyle w:val="010000000000"/>
          <w:trHeight w:val="2"/>
        </w:trPr>
        <w:tc>
          <w:tcPr>
            <w:tcW w:w="2517" w:type="pct"/>
            <w:noWrap/>
          </w:tcPr>
          <w:p w:rsidR="00814883" w:rsidRPr="00D84B41" w:rsidRDefault="00814883">
            <w:pPr>
              <w:rPr>
                <w:color w:val="auto"/>
              </w:rPr>
            </w:pPr>
          </w:p>
        </w:tc>
        <w:tc>
          <w:tcPr>
            <w:tcW w:w="936" w:type="pct"/>
          </w:tcPr>
          <w:p w:rsidR="00814883" w:rsidRPr="00D84B41" w:rsidRDefault="00814883">
            <w:pPr>
              <w:pStyle w:val="DecimalAligned"/>
              <w:rPr>
                <w:color w:val="auto"/>
              </w:rPr>
            </w:pPr>
          </w:p>
        </w:tc>
        <w:tc>
          <w:tcPr>
            <w:tcW w:w="806" w:type="pct"/>
          </w:tcPr>
          <w:p w:rsidR="00814883" w:rsidRPr="00D84B41" w:rsidRDefault="00814883">
            <w:pPr>
              <w:pStyle w:val="DecimalAligned"/>
              <w:rPr>
                <w:color w:val="auto"/>
              </w:rPr>
            </w:pPr>
          </w:p>
        </w:tc>
        <w:tc>
          <w:tcPr>
            <w:tcW w:w="741" w:type="pct"/>
          </w:tcPr>
          <w:p w:rsidR="00814883" w:rsidRPr="00D84B41" w:rsidRDefault="00814883">
            <w:pPr>
              <w:pStyle w:val="DecimalAligned"/>
              <w:rPr>
                <w:color w:val="auto"/>
              </w:rPr>
            </w:pPr>
          </w:p>
        </w:tc>
      </w:tr>
    </w:tbl>
    <w:p w:rsidR="00814883" w:rsidRPr="00443B69" w:rsidRDefault="00814883" w:rsidP="00443B69">
      <w:pPr>
        <w:pStyle w:val="ListParagraph"/>
        <w:tabs>
          <w:tab w:val="left" w:pos="1239"/>
        </w:tabs>
        <w:ind w:left="630"/>
        <w:jc w:val="both"/>
        <w:rPr>
          <w:sz w:val="24"/>
          <w:szCs w:val="24"/>
        </w:rPr>
      </w:pPr>
      <w:r w:rsidRPr="00443B69">
        <w:rPr>
          <w:sz w:val="24"/>
          <w:szCs w:val="24"/>
        </w:rPr>
        <w:t>The proposed department 3 would process Material B into Product D. One pound of Material B yields one pound of product D. Any quantity of Product D can be sold for $30 per pound. Costs under this proposal are as follows.</w:t>
      </w:r>
      <w:r w:rsidR="001C0AAD" w:rsidRPr="00443B69">
        <w:rPr>
          <w:sz w:val="24"/>
          <w:szCs w:val="24"/>
        </w:rPr>
        <w:t xml:space="preserve"> </w:t>
      </w:r>
      <w:r w:rsidR="00370735" w:rsidRPr="00443B69">
        <w:rPr>
          <w:sz w:val="24"/>
          <w:szCs w:val="24"/>
        </w:rPr>
        <w:t xml:space="preserve"> </w:t>
      </w:r>
      <w:r w:rsidRPr="00443B69">
        <w:rPr>
          <w:sz w:val="24"/>
          <w:szCs w:val="24"/>
        </w:rPr>
        <w:t xml:space="preserve">                                                                </w:t>
      </w:r>
    </w:p>
    <w:tbl>
      <w:tblPr>
        <w:tblStyle w:val="LightShading-Accent11"/>
        <w:tblW w:w="5868" w:type="pct"/>
        <w:tblLook w:val="0660"/>
      </w:tblPr>
      <w:tblGrid>
        <w:gridCol w:w="6676"/>
        <w:gridCol w:w="1803"/>
        <w:gridCol w:w="3076"/>
      </w:tblGrid>
      <w:tr w:rsidR="00F97D96" w:rsidRPr="00D84B41" w:rsidTr="002D41FE">
        <w:trPr>
          <w:cnfStyle w:val="100000000000"/>
          <w:trHeight w:val="2"/>
        </w:trPr>
        <w:tc>
          <w:tcPr>
            <w:tcW w:w="2889" w:type="pct"/>
          </w:tcPr>
          <w:p w:rsidR="00814883" w:rsidRPr="00D84B41" w:rsidRDefault="00814883" w:rsidP="00814883">
            <w:pPr>
              <w:ind w:left="2970"/>
              <w:jc w:val="center"/>
              <w:rPr>
                <w:color w:val="auto"/>
                <w:sz w:val="24"/>
                <w:szCs w:val="24"/>
              </w:rPr>
            </w:pPr>
            <w:r>
              <w:rPr>
                <w:color w:val="auto"/>
                <w:sz w:val="24"/>
                <w:szCs w:val="24"/>
              </w:rPr>
              <w:t xml:space="preserve">                             </w:t>
            </w:r>
            <w:r w:rsidRPr="00D84B41">
              <w:rPr>
                <w:color w:val="auto"/>
                <w:sz w:val="24"/>
                <w:szCs w:val="24"/>
              </w:rPr>
              <w:t>Department 1</w:t>
            </w:r>
          </w:p>
          <w:p w:rsidR="00814883" w:rsidRPr="00D84B41" w:rsidRDefault="00814883" w:rsidP="00622DAD">
            <w:pPr>
              <w:jc w:val="center"/>
              <w:rPr>
                <w:color w:val="auto"/>
                <w:sz w:val="24"/>
                <w:szCs w:val="24"/>
                <w:vertAlign w:val="superscript"/>
              </w:rPr>
            </w:pPr>
            <w:r>
              <w:rPr>
                <w:color w:val="auto"/>
                <w:sz w:val="24"/>
                <w:szCs w:val="24"/>
              </w:rPr>
              <w:t xml:space="preserve">                                                                       </w:t>
            </w:r>
            <w:r w:rsidR="00F97D96">
              <w:rPr>
                <w:color w:val="auto"/>
                <w:sz w:val="24"/>
                <w:szCs w:val="24"/>
              </w:rPr>
              <w:t xml:space="preserve">         </w:t>
            </w:r>
            <w:r>
              <w:rPr>
                <w:color w:val="auto"/>
                <w:sz w:val="24"/>
                <w:szCs w:val="24"/>
              </w:rPr>
              <w:t xml:space="preserve">    </w:t>
            </w:r>
            <w:r w:rsidRPr="00D84B41">
              <w:rPr>
                <w:color w:val="auto"/>
                <w:sz w:val="24"/>
                <w:szCs w:val="24"/>
              </w:rPr>
              <w:t>(material A and B)</w:t>
            </w:r>
            <w:r w:rsidRPr="00D84B41">
              <w:rPr>
                <w:color w:val="auto"/>
                <w:sz w:val="24"/>
                <w:szCs w:val="24"/>
                <w:vertAlign w:val="superscript"/>
              </w:rPr>
              <w:t>a</w:t>
            </w:r>
          </w:p>
        </w:tc>
        <w:tc>
          <w:tcPr>
            <w:tcW w:w="780" w:type="pct"/>
          </w:tcPr>
          <w:p w:rsidR="00814883" w:rsidRPr="00D84B41" w:rsidRDefault="00814883" w:rsidP="00F97D96">
            <w:pPr>
              <w:ind w:left="-106"/>
              <w:jc w:val="center"/>
              <w:rPr>
                <w:color w:val="auto"/>
                <w:sz w:val="24"/>
                <w:szCs w:val="24"/>
              </w:rPr>
            </w:pPr>
            <w:r>
              <w:rPr>
                <w:color w:val="auto"/>
                <w:sz w:val="24"/>
                <w:szCs w:val="24"/>
              </w:rPr>
              <w:t xml:space="preserve">   </w:t>
            </w:r>
            <w:r w:rsidRPr="00D84B41">
              <w:rPr>
                <w:color w:val="auto"/>
                <w:sz w:val="24"/>
                <w:szCs w:val="24"/>
              </w:rPr>
              <w:t>Department 2</w:t>
            </w:r>
          </w:p>
          <w:p w:rsidR="00814883" w:rsidRPr="00D84B41" w:rsidRDefault="00814883" w:rsidP="00F97D96">
            <w:pPr>
              <w:ind w:right="57"/>
              <w:jc w:val="center"/>
              <w:rPr>
                <w:color w:val="auto"/>
                <w:sz w:val="24"/>
                <w:szCs w:val="24"/>
                <w:vertAlign w:val="superscript"/>
              </w:rPr>
            </w:pPr>
            <w:r>
              <w:rPr>
                <w:color w:val="auto"/>
                <w:sz w:val="24"/>
                <w:szCs w:val="24"/>
              </w:rPr>
              <w:t xml:space="preserve">   </w:t>
            </w:r>
            <w:r w:rsidRPr="00D84B41">
              <w:rPr>
                <w:color w:val="auto"/>
                <w:sz w:val="24"/>
                <w:szCs w:val="24"/>
              </w:rPr>
              <w:t>(Product C)</w:t>
            </w:r>
            <w:r w:rsidRPr="00D84B41">
              <w:rPr>
                <w:color w:val="auto"/>
                <w:sz w:val="24"/>
                <w:szCs w:val="24"/>
                <w:vertAlign w:val="superscript"/>
              </w:rPr>
              <w:t>a</w:t>
            </w:r>
          </w:p>
        </w:tc>
        <w:tc>
          <w:tcPr>
            <w:tcW w:w="1331" w:type="pct"/>
          </w:tcPr>
          <w:p w:rsidR="00814883" w:rsidRPr="00D84B41" w:rsidRDefault="00814883" w:rsidP="00622DAD">
            <w:pPr>
              <w:jc w:val="center"/>
              <w:rPr>
                <w:color w:val="auto"/>
                <w:sz w:val="24"/>
                <w:szCs w:val="24"/>
              </w:rPr>
            </w:pPr>
          </w:p>
          <w:p w:rsidR="00814883" w:rsidRPr="00D84B41" w:rsidRDefault="00814883" w:rsidP="00814883">
            <w:pPr>
              <w:ind w:left="-646" w:hanging="322"/>
              <w:jc w:val="center"/>
              <w:rPr>
                <w:color w:val="auto"/>
                <w:sz w:val="24"/>
                <w:szCs w:val="24"/>
              </w:rPr>
            </w:pPr>
            <w:r w:rsidRPr="00D84B41">
              <w:rPr>
                <w:color w:val="auto"/>
                <w:sz w:val="24"/>
                <w:szCs w:val="24"/>
              </w:rPr>
              <w:t>(Material B)</w:t>
            </w:r>
            <w:r w:rsidRPr="00D84B41">
              <w:rPr>
                <w:color w:val="auto"/>
                <w:sz w:val="24"/>
                <w:szCs w:val="24"/>
                <w:vertAlign w:val="superscript"/>
              </w:rPr>
              <w:t>a</w:t>
            </w:r>
          </w:p>
        </w:tc>
      </w:tr>
    </w:tbl>
    <w:p w:rsidR="00814883" w:rsidRDefault="00814883" w:rsidP="00F0746F">
      <w:pPr>
        <w:pStyle w:val="ListParagraph"/>
        <w:tabs>
          <w:tab w:val="left" w:pos="1239"/>
        </w:tabs>
        <w:ind w:left="630"/>
        <w:jc w:val="both"/>
        <w:rPr>
          <w:sz w:val="28"/>
          <w:szCs w:val="28"/>
        </w:rPr>
      </w:pPr>
    </w:p>
    <w:p w:rsidR="00F97D96" w:rsidRDefault="00F97D96" w:rsidP="00F97D96">
      <w:pPr>
        <w:tabs>
          <w:tab w:val="left" w:pos="7382"/>
          <w:tab w:val="right" w:pos="9630"/>
        </w:tabs>
        <w:rPr>
          <w:sz w:val="24"/>
          <w:szCs w:val="24"/>
        </w:rPr>
      </w:pPr>
      <w:r w:rsidRPr="00D84B41">
        <w:rPr>
          <w:sz w:val="24"/>
          <w:szCs w:val="24"/>
        </w:rPr>
        <w:t>Prior Department cost ……………………………………</w:t>
      </w:r>
      <w:r>
        <w:rPr>
          <w:sz w:val="24"/>
          <w:szCs w:val="24"/>
        </w:rPr>
        <w:t xml:space="preserve">            $ -</w:t>
      </w:r>
      <w:r>
        <w:rPr>
          <w:sz w:val="24"/>
          <w:szCs w:val="24"/>
        </w:rPr>
        <w:tab/>
        <w:t>$33.25</w:t>
      </w:r>
      <w:r>
        <w:rPr>
          <w:sz w:val="24"/>
          <w:szCs w:val="24"/>
        </w:rPr>
        <w:tab/>
        <w:t>$33.25</w:t>
      </w:r>
    </w:p>
    <w:p w:rsidR="00F97D96" w:rsidRPr="00D84B41" w:rsidRDefault="00F97D96" w:rsidP="00F97D96">
      <w:pPr>
        <w:rPr>
          <w:sz w:val="24"/>
          <w:szCs w:val="24"/>
        </w:rPr>
      </w:pPr>
      <w:r w:rsidRPr="00D84B41">
        <w:rPr>
          <w:sz w:val="24"/>
          <w:szCs w:val="24"/>
        </w:rPr>
        <w:t>Direct Material…………………………………………………</w:t>
      </w:r>
      <w:r>
        <w:rPr>
          <w:sz w:val="24"/>
          <w:szCs w:val="24"/>
        </w:rPr>
        <w:t xml:space="preserve">       21.00                                     ---                       ---</w:t>
      </w:r>
    </w:p>
    <w:p w:rsidR="00F97D96" w:rsidRPr="00D84B41" w:rsidRDefault="00F97D96" w:rsidP="00F97D96">
      <w:pPr>
        <w:rPr>
          <w:sz w:val="24"/>
          <w:szCs w:val="24"/>
        </w:rPr>
      </w:pPr>
      <w:r w:rsidRPr="00D84B41">
        <w:rPr>
          <w:sz w:val="24"/>
          <w:szCs w:val="24"/>
        </w:rPr>
        <w:t>Direct Labor………………………………………………………</w:t>
      </w:r>
      <w:r>
        <w:rPr>
          <w:sz w:val="24"/>
          <w:szCs w:val="24"/>
        </w:rPr>
        <w:t xml:space="preserve">       7.00                                     12.00                    5.50</w:t>
      </w:r>
    </w:p>
    <w:p w:rsidR="00F97D96" w:rsidRPr="00D84B41" w:rsidRDefault="00F97D96" w:rsidP="00F97D96">
      <w:pPr>
        <w:rPr>
          <w:sz w:val="24"/>
          <w:szCs w:val="24"/>
        </w:rPr>
      </w:pPr>
      <w:r w:rsidRPr="00D84B41">
        <w:rPr>
          <w:sz w:val="24"/>
          <w:szCs w:val="24"/>
        </w:rPr>
        <w:t>Variable Overhead……………………………………………</w:t>
      </w:r>
      <w:r>
        <w:rPr>
          <w:sz w:val="24"/>
          <w:szCs w:val="24"/>
        </w:rPr>
        <w:t xml:space="preserve">       3.00                                      3.00                     2.00</w:t>
      </w:r>
    </w:p>
    <w:p w:rsidR="00F97D96" w:rsidRPr="00D84B41" w:rsidRDefault="00F97D96" w:rsidP="00F97D96">
      <w:pPr>
        <w:rPr>
          <w:sz w:val="24"/>
          <w:szCs w:val="24"/>
        </w:rPr>
      </w:pPr>
      <w:r w:rsidRPr="00D84B41">
        <w:rPr>
          <w:sz w:val="24"/>
          <w:szCs w:val="24"/>
        </w:rPr>
        <w:t>Fixed Overhead:</w:t>
      </w:r>
      <w:r>
        <w:rPr>
          <w:sz w:val="24"/>
          <w:szCs w:val="24"/>
        </w:rPr>
        <w:t xml:space="preserve"> </w:t>
      </w:r>
    </w:p>
    <w:p w:rsidR="00F97D96" w:rsidRPr="00D84B41" w:rsidRDefault="00F97D96" w:rsidP="00F97D96">
      <w:pPr>
        <w:rPr>
          <w:sz w:val="24"/>
          <w:szCs w:val="24"/>
        </w:rPr>
      </w:pPr>
      <w:r w:rsidRPr="00D84B41">
        <w:rPr>
          <w:sz w:val="24"/>
          <w:szCs w:val="24"/>
        </w:rPr>
        <w:t xml:space="preserve">      Direct (Total = $</w:t>
      </w:r>
      <w:r>
        <w:rPr>
          <w:sz w:val="24"/>
          <w:szCs w:val="24"/>
        </w:rPr>
        <w:t>850</w:t>
      </w:r>
      <w:r w:rsidRPr="00D84B41">
        <w:rPr>
          <w:sz w:val="24"/>
          <w:szCs w:val="24"/>
        </w:rPr>
        <w:t>,000)……………………………</w:t>
      </w:r>
      <w:r>
        <w:rPr>
          <w:sz w:val="24"/>
          <w:szCs w:val="24"/>
        </w:rPr>
        <w:t xml:space="preserve">        </w:t>
      </w:r>
      <w:r w:rsidRPr="00F97D96">
        <w:rPr>
          <w:sz w:val="24"/>
          <w:szCs w:val="24"/>
          <w:u w:val="single"/>
        </w:rPr>
        <w:t>2.25</w:t>
      </w:r>
      <w:r>
        <w:rPr>
          <w:sz w:val="24"/>
          <w:szCs w:val="24"/>
          <w:u w:val="single"/>
        </w:rPr>
        <w:t xml:space="preserve">                                      2.25                       </w:t>
      </w:r>
      <w:r w:rsidRPr="00F97D96">
        <w:rPr>
          <w:sz w:val="24"/>
          <w:szCs w:val="24"/>
          <w:u w:val="single"/>
        </w:rPr>
        <w:t>1.75</w:t>
      </w:r>
      <w:r>
        <w:rPr>
          <w:sz w:val="24"/>
          <w:szCs w:val="24"/>
          <w:u w:val="single"/>
        </w:rPr>
        <w:t xml:space="preserve">               </w:t>
      </w:r>
    </w:p>
    <w:p w:rsidR="00F97D96" w:rsidRPr="00F97D96" w:rsidRDefault="00F97D96" w:rsidP="00F0746F">
      <w:pPr>
        <w:pStyle w:val="ListParagraph"/>
        <w:tabs>
          <w:tab w:val="left" w:pos="1239"/>
        </w:tabs>
        <w:ind w:left="630"/>
        <w:jc w:val="both"/>
        <w:rPr>
          <w:sz w:val="28"/>
          <w:szCs w:val="28"/>
          <w:u w:val="single"/>
        </w:rPr>
      </w:pPr>
      <w:r>
        <w:rPr>
          <w:sz w:val="28"/>
          <w:szCs w:val="28"/>
        </w:rPr>
        <w:t xml:space="preserve">                                                                   </w:t>
      </w:r>
      <w:r w:rsidRPr="00F97D96">
        <w:rPr>
          <w:sz w:val="28"/>
          <w:szCs w:val="28"/>
          <w:u w:val="single"/>
        </w:rPr>
        <w:t>$33.25</w:t>
      </w:r>
      <w:r>
        <w:rPr>
          <w:sz w:val="28"/>
          <w:szCs w:val="28"/>
          <w:u w:val="single"/>
        </w:rPr>
        <w:t xml:space="preserve">                  </w:t>
      </w:r>
      <w:r w:rsidR="002D41FE">
        <w:rPr>
          <w:sz w:val="28"/>
          <w:szCs w:val="28"/>
          <w:u w:val="single"/>
        </w:rPr>
        <w:t xml:space="preserve"> </w:t>
      </w:r>
      <w:r>
        <w:rPr>
          <w:sz w:val="28"/>
          <w:szCs w:val="28"/>
          <w:u w:val="single"/>
        </w:rPr>
        <w:t xml:space="preserve">     $52.50              $42.50       </w:t>
      </w:r>
    </w:p>
    <w:p w:rsidR="00F97D96" w:rsidRDefault="00F97D96" w:rsidP="00F0746F">
      <w:pPr>
        <w:pStyle w:val="ListParagraph"/>
        <w:tabs>
          <w:tab w:val="left" w:pos="1239"/>
        </w:tabs>
        <w:ind w:left="630"/>
        <w:jc w:val="both"/>
        <w:rPr>
          <w:sz w:val="28"/>
          <w:szCs w:val="28"/>
        </w:rPr>
      </w:pPr>
    </w:p>
    <w:p w:rsidR="00F97D96" w:rsidRPr="002D41FE" w:rsidRDefault="002D41FE" w:rsidP="00F0746F">
      <w:pPr>
        <w:pStyle w:val="ListParagraph"/>
        <w:tabs>
          <w:tab w:val="left" w:pos="1239"/>
        </w:tabs>
        <w:ind w:left="630"/>
        <w:jc w:val="both"/>
        <w:rPr>
          <w:sz w:val="24"/>
          <w:szCs w:val="24"/>
        </w:rPr>
      </w:pPr>
      <w:r>
        <w:rPr>
          <w:sz w:val="24"/>
          <w:szCs w:val="24"/>
        </w:rPr>
        <w:t xml:space="preserve">If sales and production levels are expected to remain constant in the foreseeable future, if these cost estimates are expected to be true, and if there are no foreseeable alternative uses for the available factory space, should Biggs Company produce Product D? Show calculations to support your answer.  </w:t>
      </w:r>
    </w:p>
    <w:sectPr w:rsidR="00F97D96" w:rsidRPr="002D41FE" w:rsidSect="00763D9F">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02355"/>
    <w:multiLevelType w:val="hybridMultilevel"/>
    <w:tmpl w:val="41C23AEE"/>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B645ED"/>
    <w:rsid w:val="001C0AAD"/>
    <w:rsid w:val="002D41FE"/>
    <w:rsid w:val="002E32B7"/>
    <w:rsid w:val="00370735"/>
    <w:rsid w:val="004056F3"/>
    <w:rsid w:val="00443B69"/>
    <w:rsid w:val="00624A00"/>
    <w:rsid w:val="00763D9F"/>
    <w:rsid w:val="007C1BC6"/>
    <w:rsid w:val="00814883"/>
    <w:rsid w:val="00822FA6"/>
    <w:rsid w:val="00880C1A"/>
    <w:rsid w:val="009F1BA2"/>
    <w:rsid w:val="00B14D91"/>
    <w:rsid w:val="00B645ED"/>
    <w:rsid w:val="00CE5A8C"/>
    <w:rsid w:val="00D84B41"/>
    <w:rsid w:val="00E57965"/>
    <w:rsid w:val="00EC4F9D"/>
    <w:rsid w:val="00F0746F"/>
    <w:rsid w:val="00F97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35"/>
    <w:pPr>
      <w:ind w:left="720"/>
      <w:contextualSpacing/>
    </w:pPr>
  </w:style>
  <w:style w:type="paragraph" w:customStyle="1" w:styleId="DecimalAligned">
    <w:name w:val="Decimal Aligned"/>
    <w:basedOn w:val="Normal"/>
    <w:uiPriority w:val="40"/>
    <w:qFormat/>
    <w:rsid w:val="00822FA6"/>
    <w:pPr>
      <w:tabs>
        <w:tab w:val="decimal" w:pos="360"/>
      </w:tabs>
      <w:spacing w:after="200" w:line="276" w:lineRule="auto"/>
    </w:pPr>
    <w:rPr>
      <w:rFonts w:eastAsiaTheme="minorEastAsia"/>
    </w:rPr>
  </w:style>
  <w:style w:type="paragraph" w:styleId="FootnoteText">
    <w:name w:val="footnote text"/>
    <w:basedOn w:val="Normal"/>
    <w:link w:val="FootnoteTextChar"/>
    <w:uiPriority w:val="99"/>
    <w:unhideWhenUsed/>
    <w:rsid w:val="00822FA6"/>
    <w:rPr>
      <w:rFonts w:eastAsiaTheme="minorEastAsia"/>
      <w:sz w:val="20"/>
      <w:szCs w:val="20"/>
    </w:rPr>
  </w:style>
  <w:style w:type="character" w:customStyle="1" w:styleId="FootnoteTextChar">
    <w:name w:val="Footnote Text Char"/>
    <w:basedOn w:val="DefaultParagraphFont"/>
    <w:link w:val="FootnoteText"/>
    <w:uiPriority w:val="99"/>
    <w:rsid w:val="00822FA6"/>
    <w:rPr>
      <w:rFonts w:eastAsiaTheme="minorEastAsia"/>
      <w:sz w:val="20"/>
      <w:szCs w:val="20"/>
    </w:rPr>
  </w:style>
  <w:style w:type="character" w:styleId="SubtleEmphasis">
    <w:name w:val="Subtle Emphasis"/>
    <w:basedOn w:val="DefaultParagraphFont"/>
    <w:uiPriority w:val="19"/>
    <w:qFormat/>
    <w:rsid w:val="00822FA6"/>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822FA6"/>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10</cp:revision>
  <dcterms:created xsi:type="dcterms:W3CDTF">2009-10-09T05:35:00Z</dcterms:created>
  <dcterms:modified xsi:type="dcterms:W3CDTF">2009-10-10T15:23:00Z</dcterms:modified>
</cp:coreProperties>
</file>