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C4" w:rsidRDefault="00211FC4" w:rsidP="00211FC4">
      <w:r>
        <w:t>Assignment 4</w:t>
      </w:r>
    </w:p>
    <w:p w:rsidR="00211FC4" w:rsidRPr="00D864F7" w:rsidRDefault="002F1CC0" w:rsidP="00211FC4">
      <w:pPr>
        <w:rPr>
          <w:color w:val="FFFFFF"/>
        </w:rPr>
      </w:pPr>
      <w:r w:rsidRPr="00D864F7">
        <w:rPr>
          <w:color w:val="FFFFFF"/>
        </w:rPr>
        <w:t xml:space="preserve"> </w:t>
      </w:r>
      <w:r w:rsidR="00211FC4" w:rsidRPr="00D864F7">
        <w:rPr>
          <w:color w:val="FFFFFF"/>
        </w:rPr>
        <w:t>(</w:t>
      </w:r>
      <w:proofErr w:type="gramStart"/>
      <w:r w:rsidR="00211FC4" w:rsidRPr="00D864F7">
        <w:rPr>
          <w:color w:val="FFFFFF"/>
        </w:rPr>
        <w:t>page</w:t>
      </w:r>
      <w:proofErr w:type="gramEnd"/>
      <w:r w:rsidR="00211FC4" w:rsidRPr="00D864F7">
        <w:rPr>
          <w:color w:val="FFFFFF"/>
        </w:rPr>
        <w:t xml:space="preserve"> 434 #12)</w:t>
      </w:r>
    </w:p>
    <w:p w:rsidR="00D864F7" w:rsidRDefault="00D864F7" w:rsidP="00211FC4"/>
    <w:p w:rsidR="00D864F7" w:rsidRDefault="00D864F7" w:rsidP="00D864F7">
      <w:pPr>
        <w:numPr>
          <w:ilvl w:val="0"/>
          <w:numId w:val="2"/>
        </w:numPr>
      </w:pPr>
      <w:r>
        <w:t xml:space="preserve">Co. A has a debt-to-firm-value ratio of 30% and an equity-to-firm-value ratio of 70%.  The required rate of return on equity of Co. A is 15% while the long-term borrowing rate is 10%.  Co. A’s marginal tax rate is the statutory rate of 40%.  Calculate its after-tax weighted average cost of capital. </w:t>
      </w:r>
    </w:p>
    <w:p w:rsidR="004E379C" w:rsidRDefault="004E379C" w:rsidP="004E379C"/>
    <w:p w:rsidR="004E379C" w:rsidRDefault="004E379C" w:rsidP="004E379C">
      <w:pPr>
        <w:pStyle w:val="ListParagraph"/>
      </w:pPr>
    </w:p>
    <w:p w:rsidR="004E379C" w:rsidRDefault="004E379C" w:rsidP="004E379C">
      <w:pPr>
        <w:ind w:left="720"/>
      </w:pPr>
    </w:p>
    <w:p w:rsidR="00211FC4" w:rsidRPr="00D864F7" w:rsidRDefault="00D864F7" w:rsidP="00211FC4">
      <w:pPr>
        <w:rPr>
          <w:color w:val="FFFFFF"/>
        </w:rPr>
      </w:pPr>
      <w:r w:rsidRPr="00D864F7">
        <w:rPr>
          <w:color w:val="FFFFFF"/>
        </w:rPr>
        <w:t>(</w:t>
      </w:r>
      <w:proofErr w:type="gramStart"/>
      <w:r w:rsidRPr="00D864F7">
        <w:rPr>
          <w:color w:val="FFFFFF"/>
        </w:rPr>
        <w:t>page</w:t>
      </w:r>
      <w:proofErr w:type="gramEnd"/>
      <w:r w:rsidRPr="00D864F7">
        <w:rPr>
          <w:color w:val="FFFFFF"/>
        </w:rPr>
        <w:t xml:space="preserve"> 488)</w:t>
      </w:r>
    </w:p>
    <w:sectPr w:rsidR="00211FC4" w:rsidRPr="00D864F7" w:rsidSect="00BA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CAA"/>
    <w:multiLevelType w:val="hybridMultilevel"/>
    <w:tmpl w:val="6E6C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5FD6"/>
    <w:multiLevelType w:val="hybridMultilevel"/>
    <w:tmpl w:val="623E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FC4"/>
    <w:rsid w:val="00186680"/>
    <w:rsid w:val="00211FC4"/>
    <w:rsid w:val="002F1CC0"/>
    <w:rsid w:val="004E379C"/>
    <w:rsid w:val="008F4E33"/>
    <w:rsid w:val="00BA3DC4"/>
    <w:rsid w:val="00D8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University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Bell</dc:creator>
  <cp:keywords/>
  <dc:description/>
  <cp:lastModifiedBy>Notre Dame College</cp:lastModifiedBy>
  <cp:revision>2</cp:revision>
  <dcterms:created xsi:type="dcterms:W3CDTF">2009-09-30T17:48:00Z</dcterms:created>
  <dcterms:modified xsi:type="dcterms:W3CDTF">2009-09-30T17:48:00Z</dcterms:modified>
</cp:coreProperties>
</file>