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38" w:rsidRPr="00524986" w:rsidRDefault="00814E38" w:rsidP="00E02752">
      <w:pPr>
        <w:jc w:val="center"/>
        <w:rPr>
          <w:rFonts w:ascii="Arial" w:hAnsi="Arial" w:cs="Arial"/>
          <w:b/>
          <w:sz w:val="20"/>
          <w:szCs w:val="20"/>
        </w:rPr>
      </w:pPr>
      <w:r w:rsidRPr="00524986">
        <w:rPr>
          <w:rFonts w:ascii="Arial" w:hAnsi="Arial" w:cs="Arial"/>
          <w:b/>
          <w:sz w:val="20"/>
          <w:szCs w:val="20"/>
        </w:rPr>
        <w:t>AC556</w:t>
      </w:r>
    </w:p>
    <w:p w:rsidR="00814E38" w:rsidRPr="00524986" w:rsidRDefault="00814E38" w:rsidP="00E02752">
      <w:pPr>
        <w:jc w:val="center"/>
        <w:rPr>
          <w:rFonts w:ascii="Arial" w:hAnsi="Arial" w:cs="Arial"/>
          <w:b/>
          <w:sz w:val="20"/>
          <w:szCs w:val="20"/>
        </w:rPr>
      </w:pPr>
      <w:r w:rsidRPr="00524986">
        <w:rPr>
          <w:rFonts w:ascii="Arial" w:hAnsi="Arial" w:cs="Arial"/>
          <w:b/>
          <w:sz w:val="20"/>
          <w:szCs w:val="20"/>
        </w:rPr>
        <w:t>Week 6 Problem</w:t>
      </w:r>
    </w:p>
    <w:p w:rsidR="00814E38" w:rsidRPr="00524986" w:rsidRDefault="00814E38" w:rsidP="00E02752">
      <w:pPr>
        <w:jc w:val="center"/>
        <w:rPr>
          <w:rFonts w:ascii="Arial" w:hAnsi="Arial" w:cs="Arial"/>
          <w:b/>
          <w:sz w:val="20"/>
          <w:szCs w:val="20"/>
        </w:rPr>
      </w:pPr>
      <w:r w:rsidRPr="00524986">
        <w:rPr>
          <w:rFonts w:ascii="Arial" w:hAnsi="Arial" w:cs="Arial"/>
          <w:b/>
          <w:sz w:val="20"/>
          <w:szCs w:val="20"/>
        </w:rPr>
        <w:t>Flexible Budget and Variances</w:t>
      </w:r>
    </w:p>
    <w:p w:rsidR="00814E38" w:rsidRPr="00A54CC4" w:rsidRDefault="00814E38" w:rsidP="000B0B3E">
      <w:pPr>
        <w:rPr>
          <w:rFonts w:ascii="Arial" w:hAnsi="Arial" w:cs="Arial"/>
          <w:sz w:val="20"/>
          <w:szCs w:val="20"/>
        </w:rPr>
      </w:pPr>
      <w:r w:rsidRPr="00A54CC4">
        <w:rPr>
          <w:rFonts w:ascii="Arial" w:hAnsi="Arial" w:cs="Arial"/>
          <w:b/>
          <w:sz w:val="20"/>
          <w:szCs w:val="20"/>
        </w:rPr>
        <w:t>NOTE:</w:t>
      </w:r>
      <w:r w:rsidRPr="00A54CC4">
        <w:rPr>
          <w:rFonts w:ascii="Arial" w:hAnsi="Arial" w:cs="Arial"/>
          <w:sz w:val="20"/>
          <w:szCs w:val="20"/>
        </w:rPr>
        <w:t xml:space="preserve"> It is expected that this problem will be completed using an Excel spreadsheet using formulas. Please see the Excel Tutorial that is available under the course home tab.</w:t>
      </w:r>
    </w:p>
    <w:p w:rsidR="00814E38" w:rsidRPr="00A54CC4" w:rsidRDefault="00814E38" w:rsidP="00E362CF">
      <w:pPr>
        <w:rPr>
          <w:rFonts w:ascii="Arial" w:hAnsi="Arial" w:cs="Arial"/>
          <w:sz w:val="20"/>
          <w:szCs w:val="20"/>
        </w:rPr>
      </w:pPr>
    </w:p>
    <w:p w:rsidR="00814E38" w:rsidRPr="00A54CC4" w:rsidRDefault="00814E38" w:rsidP="00E362CF">
      <w:pPr>
        <w:rPr>
          <w:rFonts w:ascii="Arial" w:hAnsi="Arial" w:cs="Arial"/>
          <w:sz w:val="20"/>
          <w:szCs w:val="20"/>
        </w:rPr>
      </w:pPr>
      <w:r w:rsidRPr="00A54CC4">
        <w:rPr>
          <w:rFonts w:ascii="Arial" w:hAnsi="Arial" w:cs="Arial"/>
          <w:sz w:val="20"/>
          <w:szCs w:val="20"/>
        </w:rPr>
        <w:t>The Grant Company had developed a Static Budget for 2005 for one of its major departments. By the end of the year, the owner was quite pleased since he knew that sales were running above the projections. He was confide</w:t>
      </w:r>
      <w:r>
        <w:rPr>
          <w:rFonts w:ascii="Arial" w:hAnsi="Arial" w:cs="Arial"/>
          <w:sz w:val="20"/>
          <w:szCs w:val="20"/>
        </w:rPr>
        <w:t>nt that 2005 was going to be the</w:t>
      </w:r>
      <w:r w:rsidRPr="00A54CC4">
        <w:rPr>
          <w:rFonts w:ascii="Arial" w:hAnsi="Arial" w:cs="Arial"/>
          <w:sz w:val="20"/>
          <w:szCs w:val="20"/>
        </w:rPr>
        <w:t xml:space="preserve"> best year ever for this important part of the company!</w:t>
      </w:r>
    </w:p>
    <w:p w:rsidR="00814E38" w:rsidRPr="00A54CC4" w:rsidRDefault="00814E38" w:rsidP="00E362CF">
      <w:pPr>
        <w:rPr>
          <w:rFonts w:ascii="Arial" w:hAnsi="Arial" w:cs="Arial"/>
          <w:sz w:val="20"/>
          <w:szCs w:val="20"/>
        </w:rPr>
      </w:pPr>
    </w:p>
    <w:p w:rsidR="00814E38" w:rsidRPr="00A54CC4" w:rsidRDefault="00814E38" w:rsidP="00E362CF">
      <w:pPr>
        <w:rPr>
          <w:rFonts w:ascii="Arial" w:hAnsi="Arial" w:cs="Arial"/>
          <w:sz w:val="20"/>
          <w:szCs w:val="20"/>
        </w:rPr>
      </w:pPr>
      <w:r w:rsidRPr="00A54CC4">
        <w:rPr>
          <w:rFonts w:ascii="Arial" w:hAnsi="Arial" w:cs="Arial"/>
          <w:sz w:val="20"/>
          <w:szCs w:val="20"/>
        </w:rPr>
        <w:t>When the 2005 financial statement</w:t>
      </w:r>
      <w:r>
        <w:rPr>
          <w:rFonts w:ascii="Arial" w:hAnsi="Arial" w:cs="Arial"/>
          <w:sz w:val="20"/>
          <w:szCs w:val="20"/>
        </w:rPr>
        <w:t>s</w:t>
      </w:r>
      <w:r w:rsidRPr="00A54CC4">
        <w:rPr>
          <w:rFonts w:ascii="Arial" w:hAnsi="Arial" w:cs="Arial"/>
          <w:sz w:val="20"/>
          <w:szCs w:val="20"/>
        </w:rPr>
        <w:t xml:space="preserve"> were completed, it was discovered that the gross profit for the department was lower than had been originally projected. But sales were up! What happened?</w:t>
      </w:r>
    </w:p>
    <w:p w:rsidR="00814E38" w:rsidRPr="00A54CC4" w:rsidRDefault="00814E38" w:rsidP="00E362CF">
      <w:pPr>
        <w:rPr>
          <w:rFonts w:ascii="Arial" w:hAnsi="Arial" w:cs="Arial"/>
          <w:sz w:val="20"/>
          <w:szCs w:val="20"/>
        </w:rPr>
      </w:pPr>
    </w:p>
    <w:p w:rsidR="00814E38" w:rsidRPr="00A54CC4" w:rsidRDefault="00814E38" w:rsidP="00E362CF">
      <w:pPr>
        <w:rPr>
          <w:rFonts w:ascii="Arial" w:hAnsi="Arial" w:cs="Arial"/>
          <w:sz w:val="20"/>
          <w:szCs w:val="20"/>
        </w:rPr>
      </w:pPr>
      <w:r w:rsidRPr="00A54CC4">
        <w:rPr>
          <w:rFonts w:ascii="Arial" w:hAnsi="Arial" w:cs="Arial"/>
          <w:sz w:val="20"/>
          <w:szCs w:val="20"/>
        </w:rPr>
        <w:t>You have been hired to determine why 2005 was not a “banner year”! You have been supplied with the original Static Budget and the actual results as follows:</w:t>
      </w:r>
    </w:p>
    <w:p w:rsidR="00814E38" w:rsidRPr="00A54CC4" w:rsidRDefault="00814E38" w:rsidP="00E362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629"/>
      </w:tblGrid>
      <w:tr w:rsidR="00814E38" w:rsidRPr="00A54CC4" w:rsidTr="007B2659">
        <w:trPr>
          <w:trHeight w:val="273"/>
        </w:trPr>
        <w:tc>
          <w:tcPr>
            <w:tcW w:w="2268" w:type="dxa"/>
            <w:shd w:val="clear" w:color="auto" w:fill="C0C0C0"/>
          </w:tcPr>
          <w:p w:rsidR="00814E38" w:rsidRPr="007B2659" w:rsidRDefault="00814E38" w:rsidP="00E362CF">
            <w:pPr>
              <w:rPr>
                <w:rFonts w:ascii="Arial" w:hAnsi="Arial" w:cs="Arial"/>
                <w:sz w:val="20"/>
                <w:szCs w:val="20"/>
              </w:rPr>
            </w:pPr>
          </w:p>
        </w:tc>
        <w:tc>
          <w:tcPr>
            <w:tcW w:w="1620" w:type="dxa"/>
            <w:shd w:val="clear" w:color="auto" w:fill="C0C0C0"/>
          </w:tcPr>
          <w:p w:rsidR="00814E38" w:rsidRPr="007B2659" w:rsidRDefault="00814E38" w:rsidP="00E362CF">
            <w:pPr>
              <w:rPr>
                <w:rFonts w:ascii="Arial" w:hAnsi="Arial" w:cs="Arial"/>
                <w:sz w:val="20"/>
                <w:szCs w:val="20"/>
              </w:rPr>
            </w:pPr>
            <w:r w:rsidRPr="007B2659">
              <w:rPr>
                <w:rFonts w:ascii="Arial" w:hAnsi="Arial" w:cs="Arial"/>
                <w:sz w:val="20"/>
                <w:szCs w:val="20"/>
              </w:rPr>
              <w:t>Static Budget</w:t>
            </w:r>
          </w:p>
        </w:tc>
        <w:tc>
          <w:tcPr>
            <w:tcW w:w="1629" w:type="dxa"/>
            <w:shd w:val="clear" w:color="auto" w:fill="C0C0C0"/>
          </w:tcPr>
          <w:p w:rsidR="00814E38" w:rsidRPr="007B2659" w:rsidRDefault="00814E38" w:rsidP="00E362CF">
            <w:pPr>
              <w:rPr>
                <w:rFonts w:ascii="Arial" w:hAnsi="Arial" w:cs="Arial"/>
                <w:sz w:val="20"/>
                <w:szCs w:val="20"/>
              </w:rPr>
            </w:pPr>
            <w:r w:rsidRPr="007B2659">
              <w:rPr>
                <w:rFonts w:ascii="Arial" w:hAnsi="Arial" w:cs="Arial"/>
                <w:sz w:val="20"/>
                <w:szCs w:val="20"/>
              </w:rPr>
              <w:t>Actual 2005 Figures</w:t>
            </w:r>
          </w:p>
        </w:tc>
      </w:tr>
      <w:tr w:rsidR="00814E38" w:rsidRPr="00A54CC4" w:rsidTr="007B2659">
        <w:trPr>
          <w:trHeight w:val="273"/>
        </w:trPr>
        <w:tc>
          <w:tcPr>
            <w:tcW w:w="2268" w:type="dxa"/>
          </w:tcPr>
          <w:p w:rsidR="00814E38" w:rsidRPr="007B2659" w:rsidRDefault="00814E38" w:rsidP="00E362CF">
            <w:pPr>
              <w:rPr>
                <w:rFonts w:ascii="Arial" w:hAnsi="Arial" w:cs="Arial"/>
                <w:sz w:val="20"/>
                <w:szCs w:val="20"/>
              </w:rPr>
            </w:pPr>
            <w:r w:rsidRPr="007B2659">
              <w:rPr>
                <w:rFonts w:ascii="Arial" w:hAnsi="Arial" w:cs="Arial"/>
                <w:sz w:val="20"/>
                <w:szCs w:val="20"/>
              </w:rPr>
              <w:t>Units Sold</w:t>
            </w:r>
          </w:p>
        </w:tc>
        <w:tc>
          <w:tcPr>
            <w:tcW w:w="1620" w:type="dxa"/>
          </w:tcPr>
          <w:p w:rsidR="00814E38" w:rsidRPr="007B2659" w:rsidRDefault="00814E38" w:rsidP="007B2659">
            <w:pPr>
              <w:jc w:val="right"/>
              <w:rPr>
                <w:rFonts w:ascii="Arial" w:hAnsi="Arial" w:cs="Arial"/>
                <w:sz w:val="20"/>
                <w:szCs w:val="20"/>
                <w:u w:val="single"/>
              </w:rPr>
            </w:pPr>
            <w:r w:rsidRPr="007B2659">
              <w:rPr>
                <w:rFonts w:ascii="Arial" w:hAnsi="Arial" w:cs="Arial"/>
                <w:sz w:val="20"/>
                <w:szCs w:val="20"/>
                <w:u w:val="single"/>
              </w:rPr>
              <w:t>10,000</w:t>
            </w:r>
          </w:p>
        </w:tc>
        <w:tc>
          <w:tcPr>
            <w:tcW w:w="1629" w:type="dxa"/>
          </w:tcPr>
          <w:p w:rsidR="00814E38" w:rsidRPr="007B2659" w:rsidRDefault="00814E38" w:rsidP="007B2659">
            <w:pPr>
              <w:jc w:val="right"/>
              <w:rPr>
                <w:rFonts w:ascii="Arial" w:hAnsi="Arial" w:cs="Arial"/>
                <w:sz w:val="20"/>
                <w:szCs w:val="20"/>
                <w:u w:val="single"/>
              </w:rPr>
            </w:pPr>
            <w:r w:rsidRPr="007B2659">
              <w:rPr>
                <w:rFonts w:ascii="Arial" w:hAnsi="Arial" w:cs="Arial"/>
                <w:sz w:val="20"/>
                <w:szCs w:val="20"/>
                <w:u w:val="single"/>
              </w:rPr>
              <w:t>11,000</w:t>
            </w:r>
          </w:p>
        </w:tc>
      </w:tr>
      <w:tr w:rsidR="00814E38" w:rsidRPr="00A54CC4" w:rsidTr="007B2659">
        <w:trPr>
          <w:trHeight w:val="273"/>
        </w:trPr>
        <w:tc>
          <w:tcPr>
            <w:tcW w:w="2268" w:type="dxa"/>
          </w:tcPr>
          <w:p w:rsidR="00814E38" w:rsidRPr="007B2659" w:rsidRDefault="00814E38" w:rsidP="00E362CF">
            <w:pPr>
              <w:rPr>
                <w:rFonts w:ascii="Arial" w:hAnsi="Arial" w:cs="Arial"/>
                <w:sz w:val="20"/>
                <w:szCs w:val="20"/>
              </w:rPr>
            </w:pPr>
            <w:r w:rsidRPr="007B2659">
              <w:rPr>
                <w:rFonts w:ascii="Arial" w:hAnsi="Arial" w:cs="Arial"/>
                <w:sz w:val="20"/>
                <w:szCs w:val="20"/>
              </w:rPr>
              <w:t>Revenue</w:t>
            </w:r>
          </w:p>
        </w:tc>
        <w:tc>
          <w:tcPr>
            <w:tcW w:w="1620" w:type="dxa"/>
          </w:tcPr>
          <w:p w:rsidR="00814E38" w:rsidRPr="007B2659" w:rsidRDefault="00814E38" w:rsidP="007B2659">
            <w:pPr>
              <w:jc w:val="right"/>
              <w:rPr>
                <w:rFonts w:ascii="Arial" w:hAnsi="Arial" w:cs="Arial"/>
                <w:sz w:val="20"/>
                <w:szCs w:val="20"/>
                <w:u w:val="single"/>
              </w:rPr>
            </w:pPr>
            <w:r w:rsidRPr="007B2659">
              <w:rPr>
                <w:rFonts w:ascii="Arial" w:hAnsi="Arial" w:cs="Arial"/>
                <w:sz w:val="20"/>
                <w:szCs w:val="20"/>
                <w:u w:val="single"/>
              </w:rPr>
              <w:t>$1,000,000</w:t>
            </w:r>
          </w:p>
        </w:tc>
        <w:tc>
          <w:tcPr>
            <w:tcW w:w="1629" w:type="dxa"/>
          </w:tcPr>
          <w:p w:rsidR="00814E38" w:rsidRPr="007B2659" w:rsidRDefault="00814E38" w:rsidP="007B2659">
            <w:pPr>
              <w:jc w:val="right"/>
              <w:rPr>
                <w:rFonts w:ascii="Arial" w:hAnsi="Arial" w:cs="Arial"/>
                <w:sz w:val="20"/>
                <w:szCs w:val="20"/>
                <w:u w:val="single"/>
              </w:rPr>
            </w:pPr>
            <w:r w:rsidRPr="007B2659">
              <w:rPr>
                <w:rFonts w:ascii="Arial" w:hAnsi="Arial" w:cs="Arial"/>
                <w:sz w:val="20"/>
                <w:szCs w:val="20"/>
                <w:u w:val="single"/>
              </w:rPr>
              <w:t>$1,078,000</w:t>
            </w:r>
          </w:p>
        </w:tc>
      </w:tr>
      <w:tr w:rsidR="00814E38" w:rsidRPr="00A54CC4" w:rsidTr="007B2659">
        <w:trPr>
          <w:trHeight w:val="273"/>
        </w:trPr>
        <w:tc>
          <w:tcPr>
            <w:tcW w:w="2268" w:type="dxa"/>
          </w:tcPr>
          <w:p w:rsidR="00814E38" w:rsidRPr="007B2659" w:rsidRDefault="00814E38" w:rsidP="00E362CF">
            <w:pPr>
              <w:rPr>
                <w:rFonts w:ascii="Arial" w:hAnsi="Arial" w:cs="Arial"/>
                <w:sz w:val="20"/>
                <w:szCs w:val="20"/>
              </w:rPr>
            </w:pPr>
            <w:r w:rsidRPr="007B2659">
              <w:rPr>
                <w:rFonts w:ascii="Arial" w:hAnsi="Arial" w:cs="Arial"/>
                <w:sz w:val="20"/>
                <w:szCs w:val="20"/>
              </w:rPr>
              <w:t>Material</w:t>
            </w:r>
          </w:p>
        </w:tc>
        <w:tc>
          <w:tcPr>
            <w:tcW w:w="1620" w:type="dxa"/>
          </w:tcPr>
          <w:p w:rsidR="00814E38" w:rsidRPr="007B2659" w:rsidRDefault="00814E38" w:rsidP="007B2659">
            <w:pPr>
              <w:jc w:val="right"/>
              <w:rPr>
                <w:rFonts w:ascii="Arial" w:hAnsi="Arial" w:cs="Arial"/>
                <w:sz w:val="20"/>
                <w:szCs w:val="20"/>
              </w:rPr>
            </w:pPr>
            <w:r w:rsidRPr="007B2659">
              <w:rPr>
                <w:rFonts w:ascii="Arial" w:hAnsi="Arial" w:cs="Arial"/>
                <w:sz w:val="20"/>
                <w:szCs w:val="20"/>
              </w:rPr>
              <w:t>300,000</w:t>
            </w:r>
          </w:p>
        </w:tc>
        <w:tc>
          <w:tcPr>
            <w:tcW w:w="1629" w:type="dxa"/>
          </w:tcPr>
          <w:p w:rsidR="00814E38" w:rsidRPr="007B2659" w:rsidRDefault="00814E38" w:rsidP="007B2659">
            <w:pPr>
              <w:jc w:val="right"/>
              <w:rPr>
                <w:rFonts w:ascii="Arial" w:hAnsi="Arial" w:cs="Arial"/>
                <w:sz w:val="20"/>
                <w:szCs w:val="20"/>
              </w:rPr>
            </w:pPr>
            <w:r w:rsidRPr="007B2659">
              <w:rPr>
                <w:rFonts w:ascii="Arial" w:hAnsi="Arial" w:cs="Arial"/>
                <w:sz w:val="20"/>
                <w:szCs w:val="20"/>
              </w:rPr>
              <w:t>350,900</w:t>
            </w:r>
          </w:p>
        </w:tc>
      </w:tr>
      <w:tr w:rsidR="00814E38" w:rsidRPr="00A54CC4" w:rsidTr="007B2659">
        <w:trPr>
          <w:trHeight w:val="273"/>
        </w:trPr>
        <w:tc>
          <w:tcPr>
            <w:tcW w:w="2268" w:type="dxa"/>
          </w:tcPr>
          <w:p w:rsidR="00814E38" w:rsidRPr="007B2659" w:rsidRDefault="00814E38" w:rsidP="00E362CF">
            <w:pPr>
              <w:rPr>
                <w:rFonts w:ascii="Arial" w:hAnsi="Arial" w:cs="Arial"/>
                <w:sz w:val="20"/>
                <w:szCs w:val="20"/>
              </w:rPr>
            </w:pPr>
            <w:r w:rsidRPr="007B2659">
              <w:rPr>
                <w:rFonts w:ascii="Arial" w:hAnsi="Arial" w:cs="Arial"/>
                <w:sz w:val="20"/>
                <w:szCs w:val="20"/>
              </w:rPr>
              <w:t>Labor</w:t>
            </w:r>
          </w:p>
        </w:tc>
        <w:tc>
          <w:tcPr>
            <w:tcW w:w="1620" w:type="dxa"/>
          </w:tcPr>
          <w:p w:rsidR="00814E38" w:rsidRPr="007B2659" w:rsidRDefault="00814E38" w:rsidP="007B2659">
            <w:pPr>
              <w:jc w:val="right"/>
              <w:rPr>
                <w:rFonts w:ascii="Arial" w:hAnsi="Arial" w:cs="Arial"/>
                <w:sz w:val="20"/>
                <w:szCs w:val="20"/>
              </w:rPr>
            </w:pPr>
            <w:r w:rsidRPr="007B2659">
              <w:rPr>
                <w:rFonts w:ascii="Arial" w:hAnsi="Arial" w:cs="Arial"/>
                <w:sz w:val="20"/>
                <w:szCs w:val="20"/>
              </w:rPr>
              <w:t>250,000</w:t>
            </w:r>
          </w:p>
        </w:tc>
        <w:tc>
          <w:tcPr>
            <w:tcW w:w="1629" w:type="dxa"/>
          </w:tcPr>
          <w:p w:rsidR="00814E38" w:rsidRPr="007B2659" w:rsidRDefault="00814E38" w:rsidP="007B2659">
            <w:pPr>
              <w:jc w:val="right"/>
              <w:rPr>
                <w:rFonts w:ascii="Arial" w:hAnsi="Arial" w:cs="Arial"/>
                <w:sz w:val="20"/>
                <w:szCs w:val="20"/>
              </w:rPr>
            </w:pPr>
            <w:r w:rsidRPr="007B2659">
              <w:rPr>
                <w:rFonts w:ascii="Arial" w:hAnsi="Arial" w:cs="Arial"/>
                <w:sz w:val="20"/>
                <w:szCs w:val="20"/>
              </w:rPr>
              <w:t>247,500</w:t>
            </w:r>
          </w:p>
        </w:tc>
      </w:tr>
      <w:tr w:rsidR="00814E38" w:rsidRPr="00A54CC4" w:rsidTr="007B2659">
        <w:trPr>
          <w:trHeight w:val="273"/>
        </w:trPr>
        <w:tc>
          <w:tcPr>
            <w:tcW w:w="2268" w:type="dxa"/>
          </w:tcPr>
          <w:p w:rsidR="00814E38" w:rsidRPr="007B2659" w:rsidRDefault="00814E38" w:rsidP="00E362CF">
            <w:pPr>
              <w:rPr>
                <w:rFonts w:ascii="Arial" w:hAnsi="Arial" w:cs="Arial"/>
                <w:sz w:val="20"/>
                <w:szCs w:val="20"/>
              </w:rPr>
            </w:pPr>
            <w:r w:rsidRPr="007B2659">
              <w:rPr>
                <w:rFonts w:ascii="Arial" w:hAnsi="Arial" w:cs="Arial"/>
                <w:sz w:val="20"/>
                <w:szCs w:val="20"/>
              </w:rPr>
              <w:t>Variable Overhead</w:t>
            </w:r>
          </w:p>
        </w:tc>
        <w:tc>
          <w:tcPr>
            <w:tcW w:w="1620" w:type="dxa"/>
          </w:tcPr>
          <w:p w:rsidR="00814E38" w:rsidRPr="007B2659" w:rsidRDefault="00814E38" w:rsidP="007B2659">
            <w:pPr>
              <w:jc w:val="right"/>
              <w:rPr>
                <w:rFonts w:ascii="Arial" w:hAnsi="Arial" w:cs="Arial"/>
                <w:sz w:val="20"/>
                <w:szCs w:val="20"/>
              </w:rPr>
            </w:pPr>
            <w:r w:rsidRPr="007B2659">
              <w:rPr>
                <w:rFonts w:ascii="Arial" w:hAnsi="Arial" w:cs="Arial"/>
                <w:sz w:val="20"/>
                <w:szCs w:val="20"/>
              </w:rPr>
              <w:t>150,000</w:t>
            </w:r>
          </w:p>
        </w:tc>
        <w:tc>
          <w:tcPr>
            <w:tcW w:w="1629" w:type="dxa"/>
          </w:tcPr>
          <w:p w:rsidR="00814E38" w:rsidRPr="007B2659" w:rsidRDefault="00814E38" w:rsidP="007B2659">
            <w:pPr>
              <w:jc w:val="right"/>
              <w:rPr>
                <w:rFonts w:ascii="Arial" w:hAnsi="Arial" w:cs="Arial"/>
                <w:sz w:val="20"/>
                <w:szCs w:val="20"/>
              </w:rPr>
            </w:pPr>
            <w:r w:rsidRPr="007B2659">
              <w:rPr>
                <w:rFonts w:ascii="Arial" w:hAnsi="Arial" w:cs="Arial"/>
                <w:sz w:val="20"/>
                <w:szCs w:val="20"/>
              </w:rPr>
              <w:t>194,700</w:t>
            </w:r>
          </w:p>
        </w:tc>
      </w:tr>
      <w:tr w:rsidR="00814E38" w:rsidRPr="00A54CC4" w:rsidTr="007B2659">
        <w:trPr>
          <w:trHeight w:val="273"/>
        </w:trPr>
        <w:tc>
          <w:tcPr>
            <w:tcW w:w="2268" w:type="dxa"/>
          </w:tcPr>
          <w:p w:rsidR="00814E38" w:rsidRPr="007B2659" w:rsidRDefault="00814E38" w:rsidP="00E362CF">
            <w:pPr>
              <w:rPr>
                <w:rFonts w:ascii="Arial" w:hAnsi="Arial" w:cs="Arial"/>
                <w:sz w:val="20"/>
                <w:szCs w:val="20"/>
              </w:rPr>
            </w:pPr>
            <w:r w:rsidRPr="007B2659">
              <w:rPr>
                <w:rFonts w:ascii="Arial" w:hAnsi="Arial" w:cs="Arial"/>
                <w:sz w:val="20"/>
                <w:szCs w:val="20"/>
              </w:rPr>
              <w:t>Fixed Overhead</w:t>
            </w:r>
          </w:p>
        </w:tc>
        <w:tc>
          <w:tcPr>
            <w:tcW w:w="1620" w:type="dxa"/>
          </w:tcPr>
          <w:p w:rsidR="00814E38" w:rsidRPr="007B2659" w:rsidRDefault="00814E38" w:rsidP="007B2659">
            <w:pPr>
              <w:jc w:val="right"/>
              <w:rPr>
                <w:rFonts w:ascii="Arial" w:hAnsi="Arial" w:cs="Arial"/>
                <w:sz w:val="20"/>
                <w:szCs w:val="20"/>
                <w:u w:val="single"/>
              </w:rPr>
            </w:pPr>
            <w:r w:rsidRPr="007B2659">
              <w:rPr>
                <w:rFonts w:ascii="Arial" w:hAnsi="Arial" w:cs="Arial"/>
                <w:sz w:val="20"/>
                <w:szCs w:val="20"/>
                <w:u w:val="single"/>
              </w:rPr>
              <w:t>200,000</w:t>
            </w:r>
          </w:p>
        </w:tc>
        <w:tc>
          <w:tcPr>
            <w:tcW w:w="1629" w:type="dxa"/>
          </w:tcPr>
          <w:p w:rsidR="00814E38" w:rsidRPr="007B2659" w:rsidRDefault="00814E38" w:rsidP="007B2659">
            <w:pPr>
              <w:jc w:val="right"/>
              <w:rPr>
                <w:rFonts w:ascii="Arial" w:hAnsi="Arial" w:cs="Arial"/>
                <w:sz w:val="20"/>
                <w:szCs w:val="20"/>
                <w:u w:val="single"/>
              </w:rPr>
            </w:pPr>
            <w:r w:rsidRPr="007B2659">
              <w:rPr>
                <w:rFonts w:ascii="Arial" w:hAnsi="Arial" w:cs="Arial"/>
                <w:sz w:val="20"/>
                <w:szCs w:val="20"/>
                <w:u w:val="single"/>
              </w:rPr>
              <w:t>195,000</w:t>
            </w:r>
          </w:p>
        </w:tc>
      </w:tr>
      <w:tr w:rsidR="00814E38" w:rsidRPr="00A54CC4" w:rsidTr="007B2659">
        <w:trPr>
          <w:trHeight w:val="288"/>
        </w:trPr>
        <w:tc>
          <w:tcPr>
            <w:tcW w:w="2268" w:type="dxa"/>
          </w:tcPr>
          <w:p w:rsidR="00814E38" w:rsidRPr="007B2659" w:rsidRDefault="00814E38" w:rsidP="00E362CF">
            <w:pPr>
              <w:rPr>
                <w:rFonts w:ascii="Arial" w:hAnsi="Arial" w:cs="Arial"/>
                <w:sz w:val="20"/>
                <w:szCs w:val="20"/>
              </w:rPr>
            </w:pPr>
            <w:r w:rsidRPr="007B2659">
              <w:rPr>
                <w:rFonts w:ascii="Arial" w:hAnsi="Arial" w:cs="Arial"/>
                <w:sz w:val="20"/>
                <w:szCs w:val="20"/>
              </w:rPr>
              <w:t>Gross Profit</w:t>
            </w:r>
          </w:p>
        </w:tc>
        <w:tc>
          <w:tcPr>
            <w:tcW w:w="1620" w:type="dxa"/>
          </w:tcPr>
          <w:p w:rsidR="00814E38" w:rsidRPr="007B2659" w:rsidRDefault="00814E38" w:rsidP="007B2659">
            <w:pPr>
              <w:jc w:val="right"/>
              <w:rPr>
                <w:rFonts w:ascii="Arial" w:hAnsi="Arial" w:cs="Arial"/>
                <w:sz w:val="20"/>
                <w:szCs w:val="20"/>
                <w:u w:val="double"/>
              </w:rPr>
            </w:pPr>
            <w:r w:rsidRPr="007B2659">
              <w:rPr>
                <w:rFonts w:ascii="Arial" w:hAnsi="Arial" w:cs="Arial"/>
                <w:sz w:val="20"/>
                <w:szCs w:val="20"/>
                <w:u w:val="double"/>
              </w:rPr>
              <w:t>$100,000</w:t>
            </w:r>
          </w:p>
        </w:tc>
        <w:tc>
          <w:tcPr>
            <w:tcW w:w="1629" w:type="dxa"/>
          </w:tcPr>
          <w:p w:rsidR="00814E38" w:rsidRPr="007B2659" w:rsidRDefault="00814E38" w:rsidP="007B2659">
            <w:pPr>
              <w:jc w:val="right"/>
              <w:rPr>
                <w:rFonts w:ascii="Arial" w:hAnsi="Arial" w:cs="Arial"/>
                <w:sz w:val="20"/>
                <w:szCs w:val="20"/>
                <w:u w:val="double"/>
              </w:rPr>
            </w:pPr>
            <w:r w:rsidRPr="007B2659">
              <w:rPr>
                <w:rFonts w:ascii="Arial" w:hAnsi="Arial" w:cs="Arial"/>
                <w:sz w:val="20"/>
                <w:szCs w:val="20"/>
                <w:u w:val="double"/>
              </w:rPr>
              <w:t>$89,900</w:t>
            </w:r>
          </w:p>
        </w:tc>
      </w:tr>
    </w:tbl>
    <w:p w:rsidR="00814E38" w:rsidRPr="00A54CC4" w:rsidRDefault="00814E38" w:rsidP="00E362CF">
      <w:pPr>
        <w:rPr>
          <w:rFonts w:ascii="Arial" w:hAnsi="Arial" w:cs="Arial"/>
          <w:sz w:val="20"/>
          <w:szCs w:val="20"/>
        </w:rPr>
      </w:pPr>
    </w:p>
    <w:p w:rsidR="00814E38" w:rsidRPr="00A54CC4" w:rsidRDefault="00814E38" w:rsidP="00E362CF">
      <w:pPr>
        <w:rPr>
          <w:rFonts w:ascii="Arial" w:hAnsi="Arial" w:cs="Arial"/>
          <w:sz w:val="20"/>
          <w:szCs w:val="20"/>
        </w:rPr>
      </w:pPr>
      <w:r w:rsidRPr="00A54CC4">
        <w:rPr>
          <w:rFonts w:ascii="Arial" w:hAnsi="Arial" w:cs="Arial"/>
          <w:sz w:val="20"/>
          <w:szCs w:val="20"/>
        </w:rPr>
        <w:t>You are also provided with the following information regarding standards and actual results:</w:t>
      </w:r>
    </w:p>
    <w:p w:rsidR="00814E38" w:rsidRPr="00A54CC4" w:rsidRDefault="00814E38" w:rsidP="00E362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814E38" w:rsidRPr="00A54CC4" w:rsidTr="007B2659">
        <w:tc>
          <w:tcPr>
            <w:tcW w:w="2952" w:type="dxa"/>
            <w:shd w:val="clear" w:color="auto" w:fill="C0C0C0"/>
          </w:tcPr>
          <w:p w:rsidR="00814E38" w:rsidRPr="007B2659" w:rsidRDefault="00814E38" w:rsidP="00E362CF">
            <w:pPr>
              <w:rPr>
                <w:rFonts w:ascii="Arial" w:hAnsi="Arial" w:cs="Arial"/>
                <w:sz w:val="20"/>
                <w:szCs w:val="20"/>
              </w:rPr>
            </w:pPr>
          </w:p>
        </w:tc>
        <w:tc>
          <w:tcPr>
            <w:tcW w:w="2952" w:type="dxa"/>
            <w:shd w:val="clear" w:color="auto" w:fill="C0C0C0"/>
          </w:tcPr>
          <w:p w:rsidR="00814E38" w:rsidRPr="007B2659" w:rsidRDefault="00814E38" w:rsidP="00E362CF">
            <w:pPr>
              <w:rPr>
                <w:rFonts w:ascii="Arial" w:hAnsi="Arial" w:cs="Arial"/>
                <w:sz w:val="20"/>
                <w:szCs w:val="20"/>
              </w:rPr>
            </w:pPr>
            <w:r w:rsidRPr="007B2659">
              <w:rPr>
                <w:rFonts w:ascii="Arial" w:hAnsi="Arial" w:cs="Arial"/>
                <w:sz w:val="20"/>
                <w:szCs w:val="20"/>
              </w:rPr>
              <w:t>Standard</w:t>
            </w:r>
          </w:p>
        </w:tc>
        <w:tc>
          <w:tcPr>
            <w:tcW w:w="2952" w:type="dxa"/>
            <w:shd w:val="clear" w:color="auto" w:fill="C0C0C0"/>
          </w:tcPr>
          <w:p w:rsidR="00814E38" w:rsidRPr="007B2659" w:rsidRDefault="00814E38" w:rsidP="00E362CF">
            <w:pPr>
              <w:rPr>
                <w:rFonts w:ascii="Arial" w:hAnsi="Arial" w:cs="Arial"/>
                <w:sz w:val="20"/>
                <w:szCs w:val="20"/>
              </w:rPr>
            </w:pPr>
            <w:r w:rsidRPr="007B2659">
              <w:rPr>
                <w:rFonts w:ascii="Arial" w:hAnsi="Arial" w:cs="Arial"/>
                <w:sz w:val="20"/>
                <w:szCs w:val="20"/>
              </w:rPr>
              <w:t>Actual</w:t>
            </w:r>
          </w:p>
        </w:tc>
      </w:tr>
      <w:tr w:rsidR="00814E38" w:rsidRPr="00A54CC4" w:rsidTr="007B2659">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Selling price</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$100 per unit</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$98 per unit</w:t>
            </w:r>
          </w:p>
        </w:tc>
      </w:tr>
      <w:tr w:rsidR="00814E38" w:rsidRPr="00A54CC4" w:rsidTr="007B2659">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Cost of materials</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$15 per foot</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$14.50 per foot</w:t>
            </w:r>
          </w:p>
        </w:tc>
      </w:tr>
      <w:tr w:rsidR="00814E38" w:rsidRPr="00A54CC4" w:rsidTr="007B2659">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Materials per unit</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2 feet per unit</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2.2 feet per unit</w:t>
            </w:r>
          </w:p>
        </w:tc>
      </w:tr>
      <w:tr w:rsidR="00814E38" w:rsidRPr="00A54CC4" w:rsidTr="007B2659">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Labor rate</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$25 per hour</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$30 per hour</w:t>
            </w:r>
          </w:p>
        </w:tc>
      </w:tr>
      <w:tr w:rsidR="00814E38" w:rsidRPr="00A54CC4" w:rsidTr="007B2659">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Labor usage</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1 hour per unit</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0.75 hours per unit</w:t>
            </w:r>
          </w:p>
        </w:tc>
      </w:tr>
      <w:tr w:rsidR="00814E38" w:rsidRPr="00A54CC4" w:rsidTr="007B2659">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Variable overhead rate</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$30 per machine hour</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$29.50 per machine hour</w:t>
            </w:r>
          </w:p>
        </w:tc>
      </w:tr>
      <w:tr w:rsidR="00814E38" w:rsidRPr="00A54CC4" w:rsidTr="007B2659">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Variable overhead usage</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0.5 machine hours per unit</w:t>
            </w:r>
          </w:p>
        </w:tc>
        <w:tc>
          <w:tcPr>
            <w:tcW w:w="2952" w:type="dxa"/>
          </w:tcPr>
          <w:p w:rsidR="00814E38" w:rsidRPr="007B2659" w:rsidRDefault="00814E38" w:rsidP="00E362CF">
            <w:pPr>
              <w:rPr>
                <w:rFonts w:ascii="Arial" w:hAnsi="Arial" w:cs="Arial"/>
                <w:sz w:val="20"/>
                <w:szCs w:val="20"/>
              </w:rPr>
            </w:pPr>
            <w:r w:rsidRPr="007B2659">
              <w:rPr>
                <w:rFonts w:ascii="Arial" w:hAnsi="Arial" w:cs="Arial"/>
                <w:sz w:val="20"/>
                <w:szCs w:val="20"/>
              </w:rPr>
              <w:t>0.6 machine hours per unit</w:t>
            </w:r>
          </w:p>
        </w:tc>
      </w:tr>
    </w:tbl>
    <w:p w:rsidR="00814E38" w:rsidRDefault="00814E38" w:rsidP="00E362CF">
      <w:pPr>
        <w:rPr>
          <w:rFonts w:ascii="Arial" w:hAnsi="Arial" w:cs="Arial"/>
          <w:sz w:val="20"/>
          <w:szCs w:val="20"/>
        </w:rPr>
      </w:pPr>
      <w:r>
        <w:rPr>
          <w:rFonts w:ascii="Arial" w:hAnsi="Arial" w:cs="Arial"/>
          <w:sz w:val="20"/>
          <w:szCs w:val="20"/>
        </w:rPr>
        <w:t>Assume purchase quantities equal usage for materials.</w:t>
      </w:r>
    </w:p>
    <w:p w:rsidR="00814E38" w:rsidRPr="00A54CC4" w:rsidRDefault="00814E38" w:rsidP="00E362CF">
      <w:pPr>
        <w:rPr>
          <w:rFonts w:ascii="Arial" w:hAnsi="Arial" w:cs="Arial"/>
          <w:sz w:val="20"/>
          <w:szCs w:val="20"/>
        </w:rPr>
      </w:pPr>
    </w:p>
    <w:p w:rsidR="00814E38" w:rsidRPr="00524986" w:rsidRDefault="00814E38" w:rsidP="00E362CF">
      <w:pPr>
        <w:rPr>
          <w:rFonts w:ascii="Arial" w:hAnsi="Arial" w:cs="Arial"/>
          <w:b/>
          <w:sz w:val="20"/>
          <w:szCs w:val="20"/>
        </w:rPr>
      </w:pPr>
      <w:r w:rsidRPr="00524986">
        <w:rPr>
          <w:rFonts w:ascii="Arial" w:hAnsi="Arial" w:cs="Arial"/>
          <w:b/>
          <w:sz w:val="20"/>
          <w:szCs w:val="20"/>
        </w:rPr>
        <w:t>Required:</w:t>
      </w:r>
    </w:p>
    <w:p w:rsidR="00814E38" w:rsidRPr="00A54CC4" w:rsidRDefault="00814E38" w:rsidP="00E362CF">
      <w:pPr>
        <w:rPr>
          <w:rFonts w:ascii="Arial" w:hAnsi="Arial" w:cs="Arial"/>
          <w:sz w:val="20"/>
          <w:szCs w:val="20"/>
        </w:rPr>
      </w:pPr>
      <w:r w:rsidRPr="00524986">
        <w:rPr>
          <w:rFonts w:ascii="Arial" w:hAnsi="Arial" w:cs="Arial"/>
          <w:b/>
          <w:sz w:val="20"/>
          <w:szCs w:val="20"/>
        </w:rPr>
        <w:t>Part 1:</w:t>
      </w:r>
      <w:r w:rsidRPr="00A54CC4">
        <w:rPr>
          <w:rFonts w:ascii="Arial" w:hAnsi="Arial" w:cs="Arial"/>
          <w:sz w:val="20"/>
          <w:szCs w:val="20"/>
        </w:rPr>
        <w:t xml:space="preserve"> Prepare a flexible budget for 2005</w:t>
      </w:r>
    </w:p>
    <w:p w:rsidR="00814E38" w:rsidRPr="00A54CC4" w:rsidRDefault="00814E38" w:rsidP="00524986">
      <w:pPr>
        <w:rPr>
          <w:rFonts w:ascii="Arial" w:hAnsi="Arial" w:cs="Arial"/>
          <w:sz w:val="20"/>
          <w:szCs w:val="20"/>
        </w:rPr>
      </w:pPr>
      <w:r w:rsidRPr="00524986">
        <w:rPr>
          <w:rFonts w:ascii="Arial" w:hAnsi="Arial" w:cs="Arial"/>
          <w:b/>
          <w:sz w:val="20"/>
          <w:szCs w:val="20"/>
        </w:rPr>
        <w:t>Part 2:</w:t>
      </w:r>
      <w:r w:rsidRPr="00A54CC4">
        <w:rPr>
          <w:rFonts w:ascii="Arial" w:hAnsi="Arial" w:cs="Arial"/>
          <w:sz w:val="20"/>
          <w:szCs w:val="20"/>
        </w:rPr>
        <w:t xml:space="preserve"> Calculate the following variances</w:t>
      </w:r>
    </w:p>
    <w:p w:rsidR="00814E38" w:rsidRDefault="00814E38" w:rsidP="00D244FE">
      <w:pPr>
        <w:numPr>
          <w:ilvl w:val="0"/>
          <w:numId w:val="2"/>
        </w:numPr>
        <w:rPr>
          <w:rFonts w:ascii="Arial" w:hAnsi="Arial" w:cs="Arial"/>
          <w:sz w:val="20"/>
          <w:szCs w:val="20"/>
        </w:rPr>
      </w:pPr>
      <w:r>
        <w:rPr>
          <w:rFonts w:ascii="Arial" w:hAnsi="Arial" w:cs="Arial"/>
          <w:sz w:val="20"/>
          <w:szCs w:val="20"/>
        </w:rPr>
        <w:t>Sales volume variance (use CM)</w:t>
      </w:r>
    </w:p>
    <w:p w:rsidR="00814E38" w:rsidRDefault="00814E38" w:rsidP="00D244FE">
      <w:pPr>
        <w:numPr>
          <w:ilvl w:val="0"/>
          <w:numId w:val="2"/>
        </w:numPr>
        <w:rPr>
          <w:rFonts w:ascii="Arial" w:hAnsi="Arial" w:cs="Arial"/>
          <w:sz w:val="20"/>
          <w:szCs w:val="20"/>
        </w:rPr>
      </w:pPr>
      <w:r>
        <w:rPr>
          <w:rFonts w:ascii="Arial" w:hAnsi="Arial" w:cs="Arial"/>
          <w:sz w:val="20"/>
          <w:szCs w:val="20"/>
        </w:rPr>
        <w:t>Sales price variance</w:t>
      </w:r>
    </w:p>
    <w:p w:rsidR="00814E38" w:rsidRPr="00A54CC4" w:rsidRDefault="00814E38" w:rsidP="00D244FE">
      <w:pPr>
        <w:numPr>
          <w:ilvl w:val="0"/>
          <w:numId w:val="2"/>
        </w:numPr>
        <w:rPr>
          <w:rFonts w:ascii="Arial" w:hAnsi="Arial" w:cs="Arial"/>
          <w:sz w:val="20"/>
          <w:szCs w:val="20"/>
        </w:rPr>
      </w:pPr>
      <w:r w:rsidRPr="00A54CC4">
        <w:rPr>
          <w:rFonts w:ascii="Arial" w:hAnsi="Arial" w:cs="Arial"/>
          <w:sz w:val="20"/>
          <w:szCs w:val="20"/>
        </w:rPr>
        <w:t>Material price variance</w:t>
      </w:r>
    </w:p>
    <w:p w:rsidR="00814E38" w:rsidRPr="00A54CC4" w:rsidRDefault="00814E38" w:rsidP="00D244FE">
      <w:pPr>
        <w:numPr>
          <w:ilvl w:val="0"/>
          <w:numId w:val="2"/>
        </w:numPr>
        <w:rPr>
          <w:rFonts w:ascii="Arial" w:hAnsi="Arial" w:cs="Arial"/>
          <w:sz w:val="20"/>
          <w:szCs w:val="20"/>
        </w:rPr>
      </w:pPr>
      <w:r w:rsidRPr="00A54CC4">
        <w:rPr>
          <w:rFonts w:ascii="Arial" w:hAnsi="Arial" w:cs="Arial"/>
          <w:sz w:val="20"/>
          <w:szCs w:val="20"/>
        </w:rPr>
        <w:t>Material usage variance</w:t>
      </w:r>
    </w:p>
    <w:p w:rsidR="00814E38" w:rsidRPr="00A54CC4" w:rsidRDefault="00814E38" w:rsidP="00D244FE">
      <w:pPr>
        <w:numPr>
          <w:ilvl w:val="0"/>
          <w:numId w:val="2"/>
        </w:numPr>
        <w:rPr>
          <w:rFonts w:ascii="Arial" w:hAnsi="Arial" w:cs="Arial"/>
          <w:sz w:val="20"/>
          <w:szCs w:val="20"/>
        </w:rPr>
      </w:pPr>
      <w:r w:rsidRPr="00A54CC4">
        <w:rPr>
          <w:rFonts w:ascii="Arial" w:hAnsi="Arial" w:cs="Arial"/>
          <w:sz w:val="20"/>
          <w:szCs w:val="20"/>
        </w:rPr>
        <w:t>Labor rate variance</w:t>
      </w:r>
    </w:p>
    <w:p w:rsidR="00814E38" w:rsidRPr="00A54CC4" w:rsidRDefault="00814E38" w:rsidP="00D244FE">
      <w:pPr>
        <w:numPr>
          <w:ilvl w:val="0"/>
          <w:numId w:val="2"/>
        </w:numPr>
        <w:rPr>
          <w:rFonts w:ascii="Arial" w:hAnsi="Arial" w:cs="Arial"/>
          <w:sz w:val="20"/>
          <w:szCs w:val="20"/>
        </w:rPr>
      </w:pPr>
      <w:r w:rsidRPr="00A54CC4">
        <w:rPr>
          <w:rFonts w:ascii="Arial" w:hAnsi="Arial" w:cs="Arial"/>
          <w:sz w:val="20"/>
          <w:szCs w:val="20"/>
        </w:rPr>
        <w:t>Labor efficiency variance</w:t>
      </w:r>
    </w:p>
    <w:p w:rsidR="00814E38" w:rsidRPr="00A54CC4" w:rsidRDefault="00814E38" w:rsidP="00D244FE">
      <w:pPr>
        <w:numPr>
          <w:ilvl w:val="0"/>
          <w:numId w:val="2"/>
        </w:numPr>
        <w:rPr>
          <w:rFonts w:ascii="Arial" w:hAnsi="Arial" w:cs="Arial"/>
          <w:sz w:val="20"/>
          <w:szCs w:val="20"/>
        </w:rPr>
      </w:pPr>
      <w:r w:rsidRPr="00A54CC4">
        <w:rPr>
          <w:rFonts w:ascii="Arial" w:hAnsi="Arial" w:cs="Arial"/>
          <w:sz w:val="20"/>
          <w:szCs w:val="20"/>
        </w:rPr>
        <w:t>Variable overhead spending variance</w:t>
      </w:r>
    </w:p>
    <w:p w:rsidR="00814E38" w:rsidRPr="00A54CC4" w:rsidRDefault="00814E38" w:rsidP="00D244FE">
      <w:pPr>
        <w:numPr>
          <w:ilvl w:val="0"/>
          <w:numId w:val="2"/>
        </w:numPr>
        <w:rPr>
          <w:rFonts w:ascii="Arial" w:hAnsi="Arial" w:cs="Arial"/>
          <w:sz w:val="20"/>
          <w:szCs w:val="20"/>
        </w:rPr>
      </w:pPr>
      <w:r w:rsidRPr="00A54CC4">
        <w:rPr>
          <w:rFonts w:ascii="Arial" w:hAnsi="Arial" w:cs="Arial"/>
          <w:sz w:val="20"/>
          <w:szCs w:val="20"/>
        </w:rPr>
        <w:t>Variable overhead efficiency variance</w:t>
      </w:r>
    </w:p>
    <w:p w:rsidR="00814E38" w:rsidRPr="00A54CC4" w:rsidRDefault="00814E38" w:rsidP="00D244FE">
      <w:pPr>
        <w:numPr>
          <w:ilvl w:val="0"/>
          <w:numId w:val="2"/>
        </w:numPr>
        <w:rPr>
          <w:rFonts w:ascii="Arial" w:hAnsi="Arial" w:cs="Arial"/>
          <w:sz w:val="20"/>
          <w:szCs w:val="20"/>
        </w:rPr>
      </w:pPr>
      <w:r w:rsidRPr="00A54CC4">
        <w:rPr>
          <w:rFonts w:ascii="Arial" w:hAnsi="Arial" w:cs="Arial"/>
          <w:sz w:val="20"/>
          <w:szCs w:val="20"/>
        </w:rPr>
        <w:t>Fixed overhead spending variance</w:t>
      </w:r>
    </w:p>
    <w:p w:rsidR="00814E38" w:rsidRPr="00A54CC4" w:rsidRDefault="00814E38" w:rsidP="00E362CF">
      <w:pPr>
        <w:numPr>
          <w:ilvl w:val="0"/>
          <w:numId w:val="2"/>
        </w:numPr>
        <w:rPr>
          <w:rFonts w:ascii="Arial" w:hAnsi="Arial" w:cs="Arial"/>
          <w:sz w:val="20"/>
          <w:szCs w:val="20"/>
        </w:rPr>
      </w:pPr>
      <w:r w:rsidRPr="00A54CC4">
        <w:rPr>
          <w:rFonts w:ascii="Arial" w:hAnsi="Arial" w:cs="Arial"/>
          <w:sz w:val="20"/>
          <w:szCs w:val="20"/>
        </w:rPr>
        <w:t>Fixed overhead volume variance</w:t>
      </w:r>
      <w:r>
        <w:rPr>
          <w:rFonts w:ascii="Arial" w:hAnsi="Arial" w:cs="Arial"/>
          <w:sz w:val="20"/>
          <w:szCs w:val="20"/>
        </w:rPr>
        <w:t xml:space="preserve"> (Unit Volume is application base)</w:t>
      </w:r>
    </w:p>
    <w:p w:rsidR="00814E38" w:rsidRPr="00A54CC4" w:rsidRDefault="00814E38" w:rsidP="00E362CF">
      <w:pPr>
        <w:rPr>
          <w:rFonts w:ascii="Arial" w:hAnsi="Arial" w:cs="Arial"/>
          <w:sz w:val="20"/>
          <w:szCs w:val="20"/>
        </w:rPr>
      </w:pPr>
      <w:r w:rsidRPr="00524986">
        <w:rPr>
          <w:rFonts w:ascii="Arial" w:hAnsi="Arial" w:cs="Arial"/>
          <w:b/>
          <w:sz w:val="20"/>
          <w:szCs w:val="20"/>
        </w:rPr>
        <w:t>Part 3:</w:t>
      </w:r>
      <w:r w:rsidRPr="00A54CC4">
        <w:rPr>
          <w:rFonts w:ascii="Arial" w:hAnsi="Arial" w:cs="Arial"/>
          <w:sz w:val="20"/>
          <w:szCs w:val="20"/>
        </w:rPr>
        <w:t xml:space="preserve"> Prepare a short report indicating possible reasons for the lower than expected gross profit.</w:t>
      </w:r>
    </w:p>
    <w:sectPr w:rsidR="00814E38" w:rsidRPr="00A54CC4" w:rsidSect="00FA00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A05"/>
    <w:multiLevelType w:val="hybridMultilevel"/>
    <w:tmpl w:val="E2E64CD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21A7EEF"/>
    <w:multiLevelType w:val="hybridMultilevel"/>
    <w:tmpl w:val="E660A6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9E7"/>
    <w:rsid w:val="000A1A99"/>
    <w:rsid w:val="000B0B3E"/>
    <w:rsid w:val="00110BBF"/>
    <w:rsid w:val="001A639F"/>
    <w:rsid w:val="00384F9D"/>
    <w:rsid w:val="00463511"/>
    <w:rsid w:val="004F49E7"/>
    <w:rsid w:val="00524986"/>
    <w:rsid w:val="00731A47"/>
    <w:rsid w:val="0076771E"/>
    <w:rsid w:val="007B2659"/>
    <w:rsid w:val="00814E38"/>
    <w:rsid w:val="008429E4"/>
    <w:rsid w:val="008F530C"/>
    <w:rsid w:val="009B06EE"/>
    <w:rsid w:val="00A54CC4"/>
    <w:rsid w:val="00AA47E2"/>
    <w:rsid w:val="00D244FE"/>
    <w:rsid w:val="00E02752"/>
    <w:rsid w:val="00E362CF"/>
    <w:rsid w:val="00ED524F"/>
    <w:rsid w:val="00FA00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4C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325</Words>
  <Characters>1859</Characters>
  <Application>Microsoft Office Outlook</Application>
  <DocSecurity>0</DocSecurity>
  <Lines>0</Lines>
  <Paragraphs>0</Paragraphs>
  <ScaleCrop>false</ScaleCrop>
  <Company>ROCKFORD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AC556</dc:title>
  <dc:subject/>
  <dc:creator>Bob Von der Ohe</dc:creator>
  <cp:keywords/>
  <dc:description/>
  <cp:lastModifiedBy>Tzankov</cp:lastModifiedBy>
  <cp:revision>2</cp:revision>
  <cp:lastPrinted>2005-11-05T19:30:00Z</cp:lastPrinted>
  <dcterms:created xsi:type="dcterms:W3CDTF">2009-08-13T15:39:00Z</dcterms:created>
  <dcterms:modified xsi:type="dcterms:W3CDTF">2009-08-13T15:39:00Z</dcterms:modified>
</cp:coreProperties>
</file>