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37" w:rsidRPr="00B529EC" w:rsidRDefault="00B02F37" w:rsidP="00B02F37">
      <w:pPr>
        <w:pStyle w:val="qmarker"/>
      </w:pPr>
    </w:p>
    <w:p w:rsidR="00B02F37" w:rsidRPr="00B529EC" w:rsidRDefault="00B02F37" w:rsidP="00B02F37">
      <w:pPr>
        <w:tabs>
          <w:tab w:val="right" w:pos="9332"/>
        </w:tabs>
        <w:rPr>
          <w:rFonts w:ascii="Arial" w:hAnsi="Arial" w:cs="Arial"/>
          <w:sz w:val="20"/>
          <w:szCs w:val="20"/>
        </w:rPr>
      </w:pPr>
    </w:p>
    <w:p w:rsidR="00B02F37" w:rsidRPr="00B529EC" w:rsidRDefault="00B02F37" w:rsidP="00B02F37">
      <w:pPr>
        <w:numPr>
          <w:ilvl w:val="0"/>
          <w:numId w:val="2"/>
        </w:numPr>
        <w:tabs>
          <w:tab w:val="clear" w:pos="360"/>
          <w:tab w:val="num" w:pos="567"/>
        </w:tabs>
        <w:ind w:left="567" w:hanging="567"/>
        <w:rPr>
          <w:rFonts w:ascii="Arial" w:hAnsi="Arial" w:cs="Arial"/>
          <w:sz w:val="20"/>
          <w:szCs w:val="20"/>
        </w:rPr>
      </w:pPr>
      <w:r w:rsidRPr="00B529EC">
        <w:rPr>
          <w:rFonts w:ascii="Arial" w:hAnsi="Arial" w:cs="Arial"/>
          <w:sz w:val="20"/>
          <w:szCs w:val="20"/>
        </w:rPr>
        <w:t>Using an appropriate diagram, explain clearly why a consumer must be in equilibrium when the marginal rate of substitution is equal to the ratio of the prices of the goods consumed.</w:t>
      </w:r>
    </w:p>
    <w:p w:rsidR="00B02F37" w:rsidRPr="00B529EC" w:rsidRDefault="00B02F37" w:rsidP="00B02F37">
      <w:pPr>
        <w:tabs>
          <w:tab w:val="num" w:pos="567"/>
          <w:tab w:val="right" w:pos="9332"/>
        </w:tabs>
        <w:jc w:val="right"/>
        <w:rPr>
          <w:rFonts w:ascii="Arial" w:hAnsi="Arial" w:cs="Arial"/>
          <w:sz w:val="20"/>
          <w:szCs w:val="20"/>
        </w:rPr>
      </w:pPr>
      <w:r w:rsidRPr="00B529EC">
        <w:rPr>
          <w:rFonts w:ascii="Arial" w:hAnsi="Arial" w:cs="Arial"/>
          <w:sz w:val="20"/>
          <w:szCs w:val="20"/>
        </w:rPr>
        <w:tab/>
      </w:r>
    </w:p>
    <w:p w:rsidR="00B02F37" w:rsidRPr="00B529EC" w:rsidRDefault="00B02F37" w:rsidP="00B02F37">
      <w:pPr>
        <w:tabs>
          <w:tab w:val="num" w:pos="567"/>
          <w:tab w:val="right" w:pos="9332"/>
        </w:tabs>
        <w:rPr>
          <w:rFonts w:ascii="Arial" w:hAnsi="Arial" w:cs="Arial"/>
          <w:sz w:val="20"/>
          <w:szCs w:val="20"/>
        </w:rPr>
      </w:pPr>
    </w:p>
    <w:p w:rsidR="000619DE" w:rsidRPr="00B02F37" w:rsidRDefault="00B02F37" w:rsidP="00B02F37">
      <w:pPr>
        <w:pStyle w:val="a3"/>
        <w:numPr>
          <w:ilvl w:val="0"/>
          <w:numId w:val="2"/>
        </w:numPr>
        <w:rPr>
          <w:rFonts w:ascii="Arial" w:hAnsi="Arial" w:cs="Arial"/>
          <w:sz w:val="20"/>
          <w:szCs w:val="20"/>
        </w:rPr>
      </w:pPr>
      <w:r w:rsidRPr="00B02F37">
        <w:rPr>
          <w:rFonts w:ascii="Arial" w:hAnsi="Arial" w:cs="Arial"/>
          <w:sz w:val="20"/>
          <w:szCs w:val="20"/>
        </w:rPr>
        <w:t>Use an appropriate diagram; explain how indifference curve analysis can be used to derive a demand curve.</w:t>
      </w:r>
    </w:p>
    <w:p w:rsidR="00B02F37" w:rsidRDefault="00B02F37" w:rsidP="00B02F37">
      <w:pPr>
        <w:rPr>
          <w:rFonts w:ascii="Arial" w:hAnsi="Arial" w:cs="Arial"/>
          <w:sz w:val="20"/>
          <w:szCs w:val="20"/>
        </w:rPr>
      </w:pPr>
    </w:p>
    <w:p w:rsidR="00B02F37" w:rsidRPr="00B529EC" w:rsidRDefault="00B02F37" w:rsidP="00B02F37">
      <w:pPr>
        <w:pStyle w:val="qmarker"/>
      </w:pPr>
    </w:p>
    <w:p w:rsidR="00B02F37" w:rsidRPr="00B529EC" w:rsidRDefault="00B02F37" w:rsidP="00B02F37">
      <w:pPr>
        <w:rPr>
          <w:rFonts w:ascii="Arial" w:hAnsi="Arial" w:cs="Arial"/>
          <w:sz w:val="20"/>
          <w:szCs w:val="20"/>
        </w:rPr>
      </w:pPr>
    </w:p>
    <w:p w:rsidR="00B02F37" w:rsidRPr="00B529EC" w:rsidRDefault="00B02F37" w:rsidP="00B02F37">
      <w:pPr>
        <w:rPr>
          <w:rFonts w:ascii="Arial" w:hAnsi="Arial" w:cs="Arial"/>
          <w:sz w:val="20"/>
          <w:szCs w:val="20"/>
        </w:rPr>
      </w:pPr>
      <w:r w:rsidRPr="00B529EC">
        <w:rPr>
          <w:rFonts w:ascii="Arial" w:hAnsi="Arial" w:cs="Arial"/>
          <w:sz w:val="20"/>
          <w:szCs w:val="20"/>
        </w:rPr>
        <w:t>“Developments in the world economy obviously pose a risk to economic performance in the near term. Monetary policy has been eased, in recognition of the changing circumstances, and should prove to have some expansionary influence over the period ahead.”</w:t>
      </w:r>
    </w:p>
    <w:p w:rsidR="00B02F37" w:rsidRPr="00B529EC" w:rsidRDefault="00B02F37" w:rsidP="00B02F37">
      <w:pPr>
        <w:rPr>
          <w:rFonts w:ascii="Arial" w:hAnsi="Arial" w:cs="Arial"/>
          <w:sz w:val="20"/>
          <w:szCs w:val="20"/>
        </w:rPr>
      </w:pPr>
    </w:p>
    <w:p w:rsidR="00B02F37" w:rsidRPr="00B529EC" w:rsidRDefault="00B02F37" w:rsidP="00B02F37">
      <w:pPr>
        <w:rPr>
          <w:rFonts w:ascii="Arial" w:hAnsi="Arial" w:cs="Arial"/>
          <w:i/>
          <w:sz w:val="20"/>
          <w:szCs w:val="20"/>
        </w:rPr>
      </w:pPr>
      <w:proofErr w:type="gramStart"/>
      <w:r w:rsidRPr="00B529EC">
        <w:rPr>
          <w:rFonts w:ascii="Arial" w:hAnsi="Arial" w:cs="Arial"/>
          <w:i/>
          <w:sz w:val="20"/>
          <w:szCs w:val="20"/>
        </w:rPr>
        <w:t xml:space="preserve">From an address by the Governor of the Reserve Bank of </w:t>
      </w:r>
      <w:smartTag w:uri="urn:schemas-microsoft-com:office:smarttags" w:element="country-region">
        <w:r w:rsidRPr="00B529EC">
          <w:rPr>
            <w:rFonts w:ascii="Arial" w:hAnsi="Arial" w:cs="Arial"/>
            <w:i/>
            <w:sz w:val="20"/>
            <w:szCs w:val="20"/>
          </w:rPr>
          <w:t>Australia</w:t>
        </w:r>
      </w:smartTag>
      <w:r w:rsidRPr="00B529EC">
        <w:rPr>
          <w:rFonts w:ascii="Arial" w:hAnsi="Arial" w:cs="Arial"/>
          <w:i/>
          <w:sz w:val="20"/>
          <w:szCs w:val="20"/>
        </w:rPr>
        <w:t xml:space="preserve"> to the Economic Society of </w:t>
      </w:r>
      <w:smartTag w:uri="urn:schemas-microsoft-com:office:smarttags" w:element="country-region">
        <w:r w:rsidRPr="00B529EC">
          <w:rPr>
            <w:rFonts w:ascii="Arial" w:hAnsi="Arial" w:cs="Arial"/>
            <w:i/>
            <w:sz w:val="20"/>
            <w:szCs w:val="20"/>
          </w:rPr>
          <w:t>Australia</w:t>
        </w:r>
      </w:smartTag>
      <w:r w:rsidRPr="00B529EC">
        <w:rPr>
          <w:rFonts w:ascii="Arial" w:hAnsi="Arial" w:cs="Arial"/>
          <w:i/>
          <w:sz w:val="20"/>
          <w:szCs w:val="20"/>
        </w:rPr>
        <w:t xml:space="preserve">, </w:t>
      </w:r>
      <w:smartTag w:uri="urn:schemas-microsoft-com:office:smarttags" w:element="City">
        <w:smartTag w:uri="urn:schemas-microsoft-com:office:smarttags" w:element="place">
          <w:r w:rsidRPr="00B529EC">
            <w:rPr>
              <w:rFonts w:ascii="Arial" w:hAnsi="Arial" w:cs="Arial"/>
              <w:i/>
              <w:sz w:val="20"/>
              <w:szCs w:val="20"/>
            </w:rPr>
            <w:t>Melbourne</w:t>
          </w:r>
        </w:smartTag>
      </w:smartTag>
      <w:r w:rsidRPr="00B529EC">
        <w:rPr>
          <w:rFonts w:ascii="Arial" w:hAnsi="Arial" w:cs="Arial"/>
          <w:i/>
          <w:sz w:val="20"/>
          <w:szCs w:val="20"/>
        </w:rPr>
        <w:t>, 10 April 2001.</w:t>
      </w:r>
      <w:proofErr w:type="gramEnd"/>
    </w:p>
    <w:p w:rsidR="00B02F37" w:rsidRPr="00B529EC" w:rsidRDefault="00B02F37" w:rsidP="00B02F37">
      <w:pPr>
        <w:rPr>
          <w:rFonts w:ascii="Arial" w:hAnsi="Arial" w:cs="Arial"/>
          <w:sz w:val="20"/>
          <w:szCs w:val="20"/>
        </w:rPr>
      </w:pPr>
    </w:p>
    <w:p w:rsidR="00B02F37" w:rsidRPr="00B529EC" w:rsidRDefault="00B02F37" w:rsidP="00B02F37">
      <w:pPr>
        <w:rPr>
          <w:rFonts w:ascii="Arial" w:hAnsi="Arial" w:cs="Arial"/>
          <w:sz w:val="20"/>
          <w:szCs w:val="20"/>
        </w:rPr>
      </w:pPr>
      <w:r w:rsidRPr="00B529EC">
        <w:rPr>
          <w:rFonts w:ascii="Arial" w:hAnsi="Arial" w:cs="Arial"/>
          <w:sz w:val="20"/>
          <w:szCs w:val="20"/>
        </w:rPr>
        <w:t xml:space="preserve">The Governor of the RBA was commenting on the reasons for a change in direction of monetary policy in the early part of 2001 from the </w:t>
      </w:r>
      <w:proofErr w:type="spellStart"/>
      <w:r w:rsidRPr="00B529EC">
        <w:rPr>
          <w:rFonts w:ascii="Arial" w:hAnsi="Arial" w:cs="Arial"/>
          <w:sz w:val="20"/>
          <w:szCs w:val="20"/>
        </w:rPr>
        <w:t>contractionary</w:t>
      </w:r>
      <w:proofErr w:type="spellEnd"/>
      <w:r w:rsidRPr="00B529EC">
        <w:rPr>
          <w:rFonts w:ascii="Arial" w:hAnsi="Arial" w:cs="Arial"/>
          <w:sz w:val="20"/>
          <w:szCs w:val="20"/>
        </w:rPr>
        <w:t xml:space="preserve"> stance taken the previous year (2000). Explain why this change in direction was necessary. USING APPROPRIATE DIAGRAMS, trace the expected impact of </w:t>
      </w:r>
      <w:proofErr w:type="spellStart"/>
      <w:r w:rsidRPr="00B529EC">
        <w:rPr>
          <w:rFonts w:ascii="Arial" w:hAnsi="Arial" w:cs="Arial"/>
          <w:sz w:val="20"/>
          <w:szCs w:val="20"/>
        </w:rPr>
        <w:t>contractionary</w:t>
      </w:r>
      <w:proofErr w:type="spellEnd"/>
      <w:r w:rsidRPr="00B529EC">
        <w:rPr>
          <w:rFonts w:ascii="Arial" w:hAnsi="Arial" w:cs="Arial"/>
          <w:sz w:val="20"/>
          <w:szCs w:val="20"/>
        </w:rPr>
        <w:t xml:space="preserve"> monetary policy on aggregate expenditure, aggregate demand and real GDP, commenting on the implications for economic growth, unemployment, and the balance of payments.</w:t>
      </w:r>
    </w:p>
    <w:p w:rsidR="00B02F37" w:rsidRDefault="00B02F37" w:rsidP="00B02F37">
      <w:pPr>
        <w:rPr>
          <w:rFonts w:ascii="Arial" w:hAnsi="Arial" w:cs="Arial"/>
          <w:sz w:val="20"/>
          <w:szCs w:val="20"/>
        </w:rPr>
      </w:pPr>
    </w:p>
    <w:p w:rsidR="00B02F37" w:rsidRDefault="00B02F37" w:rsidP="00B02F37">
      <w:pPr>
        <w:rPr>
          <w:rFonts w:ascii="Arial" w:hAnsi="Arial" w:cs="Arial"/>
          <w:sz w:val="20"/>
          <w:szCs w:val="20"/>
        </w:rPr>
      </w:pPr>
    </w:p>
    <w:p w:rsidR="00B02F37" w:rsidRPr="00B529EC" w:rsidRDefault="00B02F37" w:rsidP="00B02F37">
      <w:pPr>
        <w:pStyle w:val="qmarker"/>
      </w:pPr>
    </w:p>
    <w:p w:rsidR="00B02F37" w:rsidRPr="00B529EC" w:rsidRDefault="00B02F37" w:rsidP="00B02F37">
      <w:pPr>
        <w:pStyle w:val="a4"/>
        <w:ind w:left="0" w:firstLine="0"/>
        <w:rPr>
          <w:rFonts w:ascii="Arial" w:hAnsi="Arial" w:cs="Arial"/>
          <w:sz w:val="20"/>
          <w:szCs w:val="20"/>
        </w:rPr>
      </w:pPr>
    </w:p>
    <w:p w:rsidR="00B02F37" w:rsidRPr="00B529EC" w:rsidRDefault="00B02F37" w:rsidP="00B02F37">
      <w:pPr>
        <w:pStyle w:val="a4"/>
        <w:numPr>
          <w:ilvl w:val="0"/>
          <w:numId w:val="3"/>
        </w:numPr>
        <w:rPr>
          <w:rFonts w:ascii="Arial" w:hAnsi="Arial" w:cs="Arial"/>
          <w:sz w:val="20"/>
          <w:szCs w:val="20"/>
        </w:rPr>
      </w:pPr>
      <w:r w:rsidRPr="00B529EC">
        <w:rPr>
          <w:rFonts w:ascii="Arial" w:hAnsi="Arial" w:cs="Arial"/>
          <w:bCs/>
          <w:sz w:val="20"/>
          <w:szCs w:val="20"/>
        </w:rPr>
        <w:t>Suppose initially a firm is making a profit.</w:t>
      </w:r>
      <w:r w:rsidRPr="00B529EC">
        <w:rPr>
          <w:rFonts w:ascii="Arial" w:hAnsi="Arial" w:cs="Arial"/>
          <w:b/>
          <w:bCs/>
          <w:sz w:val="20"/>
          <w:szCs w:val="20"/>
        </w:rPr>
        <w:t xml:space="preserve"> With the use of diagrams</w:t>
      </w:r>
      <w:r w:rsidRPr="00B529EC">
        <w:rPr>
          <w:rFonts w:ascii="Arial" w:hAnsi="Arial" w:cs="Arial"/>
          <w:sz w:val="20"/>
          <w:szCs w:val="20"/>
        </w:rPr>
        <w:t>, explain how long run equilibrium is achieved in:</w:t>
      </w:r>
    </w:p>
    <w:p w:rsidR="00B02F37" w:rsidRPr="00B529EC" w:rsidRDefault="00B02F37" w:rsidP="00B02F37">
      <w:pPr>
        <w:pStyle w:val="a4"/>
        <w:ind w:left="360" w:firstLine="0"/>
        <w:rPr>
          <w:rFonts w:ascii="Arial" w:hAnsi="Arial" w:cs="Arial"/>
          <w:sz w:val="20"/>
          <w:szCs w:val="20"/>
        </w:rPr>
      </w:pPr>
    </w:p>
    <w:p w:rsidR="00B02F37" w:rsidRPr="00B529EC" w:rsidRDefault="00B02F37" w:rsidP="00B02F37">
      <w:pPr>
        <w:pStyle w:val="a4"/>
        <w:numPr>
          <w:ilvl w:val="1"/>
          <w:numId w:val="3"/>
        </w:numPr>
        <w:rPr>
          <w:rFonts w:ascii="Arial" w:hAnsi="Arial" w:cs="Arial"/>
          <w:sz w:val="20"/>
          <w:szCs w:val="20"/>
        </w:rPr>
      </w:pPr>
      <w:r w:rsidRPr="00B529EC">
        <w:rPr>
          <w:rFonts w:ascii="Arial" w:hAnsi="Arial" w:cs="Arial"/>
          <w:sz w:val="20"/>
          <w:szCs w:val="20"/>
        </w:rPr>
        <w:t>Perfect Competition.</w:t>
      </w:r>
    </w:p>
    <w:p w:rsidR="00B02F37" w:rsidRPr="00B529EC" w:rsidRDefault="00B02F37" w:rsidP="00B02F37">
      <w:pPr>
        <w:pStyle w:val="a4"/>
        <w:numPr>
          <w:ilvl w:val="1"/>
          <w:numId w:val="3"/>
        </w:numPr>
        <w:rPr>
          <w:rFonts w:ascii="Arial" w:hAnsi="Arial" w:cs="Arial"/>
          <w:sz w:val="20"/>
          <w:szCs w:val="20"/>
        </w:rPr>
      </w:pPr>
      <w:r w:rsidRPr="00B529EC">
        <w:rPr>
          <w:rFonts w:ascii="Arial" w:hAnsi="Arial" w:cs="Arial"/>
          <w:sz w:val="20"/>
          <w:szCs w:val="20"/>
        </w:rPr>
        <w:t xml:space="preserve">Monopolistic Competition.                                                   </w:t>
      </w:r>
    </w:p>
    <w:p w:rsidR="00B02F37" w:rsidRPr="00B529EC" w:rsidRDefault="00B02F37" w:rsidP="00B02F37">
      <w:pPr>
        <w:pStyle w:val="a4"/>
        <w:ind w:left="1080" w:firstLine="0"/>
        <w:jc w:val="right"/>
        <w:rPr>
          <w:rFonts w:ascii="Arial" w:hAnsi="Arial" w:cs="Arial"/>
          <w:sz w:val="20"/>
          <w:szCs w:val="20"/>
        </w:rPr>
      </w:pPr>
    </w:p>
    <w:p w:rsidR="00B02F37" w:rsidRPr="00B529EC" w:rsidRDefault="00B02F37" w:rsidP="00B02F37">
      <w:pPr>
        <w:numPr>
          <w:ilvl w:val="0"/>
          <w:numId w:val="3"/>
        </w:numPr>
        <w:rPr>
          <w:rFonts w:ascii="Arial" w:hAnsi="Arial" w:cs="Arial"/>
          <w:sz w:val="20"/>
          <w:szCs w:val="20"/>
        </w:rPr>
      </w:pPr>
      <w:r w:rsidRPr="00B529EC">
        <w:rPr>
          <w:rFonts w:ascii="Arial" w:hAnsi="Arial" w:cs="Arial"/>
          <w:sz w:val="20"/>
          <w:szCs w:val="20"/>
        </w:rPr>
        <w:t>Compare the economic welfare of a perfectly competitive industry and a monopoly. Draw the appropriate diagrams and explain how market outcome is different in both industries in regard to output and price.</w:t>
      </w:r>
    </w:p>
    <w:p w:rsidR="00B02F37" w:rsidRPr="00B529EC" w:rsidRDefault="00B02F37" w:rsidP="00B02F37">
      <w:pPr>
        <w:tabs>
          <w:tab w:val="right" w:pos="9332"/>
        </w:tabs>
        <w:rPr>
          <w:rFonts w:ascii="Arial" w:hAnsi="Arial" w:cs="Arial"/>
          <w:sz w:val="20"/>
          <w:szCs w:val="20"/>
        </w:rPr>
      </w:pPr>
    </w:p>
    <w:p w:rsidR="00B02F37" w:rsidRPr="00B529EC" w:rsidRDefault="00B02F37" w:rsidP="00B02F37">
      <w:pPr>
        <w:pStyle w:val="qmarker"/>
      </w:pPr>
    </w:p>
    <w:p w:rsidR="00B02F37" w:rsidRPr="00B529EC" w:rsidRDefault="00B02F37" w:rsidP="00B02F37">
      <w:pPr>
        <w:pStyle w:val="a4"/>
        <w:ind w:left="0" w:firstLine="0"/>
        <w:rPr>
          <w:rFonts w:ascii="Arial" w:hAnsi="Arial" w:cs="Arial"/>
          <w:sz w:val="20"/>
          <w:szCs w:val="20"/>
        </w:rPr>
      </w:pPr>
    </w:p>
    <w:p w:rsidR="00B02F37" w:rsidRPr="00B529EC" w:rsidRDefault="00B02F37" w:rsidP="00B02F37">
      <w:pPr>
        <w:pStyle w:val="a4"/>
        <w:ind w:left="0" w:firstLine="0"/>
        <w:rPr>
          <w:rFonts w:ascii="Arial" w:hAnsi="Arial" w:cs="Arial"/>
          <w:sz w:val="20"/>
          <w:szCs w:val="20"/>
        </w:rPr>
      </w:pPr>
      <w:r w:rsidRPr="00B529EC">
        <w:rPr>
          <w:rFonts w:ascii="Arial" w:hAnsi="Arial" w:cs="Arial"/>
          <w:sz w:val="20"/>
          <w:szCs w:val="20"/>
        </w:rPr>
        <w:t xml:space="preserve">In the late 1990s, </w:t>
      </w:r>
      <w:smartTag w:uri="urn:schemas-microsoft-com:office:smarttags" w:element="country-region">
        <w:smartTag w:uri="urn:schemas-microsoft-com:office:smarttags" w:element="place">
          <w:r w:rsidRPr="00B529EC">
            <w:rPr>
              <w:rFonts w:ascii="Arial" w:hAnsi="Arial" w:cs="Arial"/>
              <w:sz w:val="20"/>
              <w:szCs w:val="20"/>
            </w:rPr>
            <w:t>Australia</w:t>
          </w:r>
        </w:smartTag>
      </w:smartTag>
      <w:r w:rsidRPr="00B529EC">
        <w:rPr>
          <w:rFonts w:ascii="Arial" w:hAnsi="Arial" w:cs="Arial"/>
          <w:sz w:val="20"/>
          <w:szCs w:val="20"/>
        </w:rPr>
        <w:t>’s current account deficit (CAD) soared to above 6% of our GDP. In early 2000s, the CAD stands at a very comfortable level of just 2% of GDP. Study the following newspaper cutting (Courier Mail, Sept 3, 2001) on the improving CAD and recent strong economic growth:</w:t>
      </w:r>
    </w:p>
    <w:p w:rsidR="00B02F37" w:rsidRPr="00B529EC" w:rsidRDefault="00B02F37" w:rsidP="00B02F37">
      <w:pPr>
        <w:pStyle w:val="a4"/>
        <w:ind w:left="0" w:firstLine="0"/>
        <w:rPr>
          <w:rFonts w:ascii="Arial" w:hAnsi="Arial" w:cs="Arial"/>
          <w:sz w:val="20"/>
          <w:szCs w:val="20"/>
        </w:rPr>
      </w:pPr>
    </w:p>
    <w:p w:rsidR="00B02F37" w:rsidRPr="00B529EC" w:rsidRDefault="00B02F37" w:rsidP="00B02F37">
      <w:pPr>
        <w:pStyle w:val="a4"/>
        <w:pBdr>
          <w:top w:val="single" w:sz="4" w:space="1" w:color="auto"/>
          <w:left w:val="single" w:sz="4" w:space="4" w:color="auto"/>
          <w:bottom w:val="single" w:sz="4" w:space="1" w:color="auto"/>
          <w:right w:val="single" w:sz="4" w:space="4" w:color="auto"/>
        </w:pBdr>
        <w:ind w:left="2160" w:right="926"/>
        <w:jc w:val="both"/>
        <w:rPr>
          <w:rFonts w:ascii="Arial" w:hAnsi="Arial" w:cs="Arial"/>
          <w:b/>
          <w:bCs/>
          <w:sz w:val="20"/>
          <w:szCs w:val="20"/>
        </w:rPr>
      </w:pPr>
      <w:r w:rsidRPr="00B529EC">
        <w:rPr>
          <w:rFonts w:ascii="Arial" w:hAnsi="Arial" w:cs="Arial"/>
          <w:b/>
          <w:bCs/>
          <w:sz w:val="20"/>
          <w:szCs w:val="20"/>
        </w:rPr>
        <w:t>Growth rate registers dramatic turnaround</w:t>
      </w:r>
    </w:p>
    <w:p w:rsidR="00B02F37" w:rsidRPr="00B529EC" w:rsidRDefault="00B02F37" w:rsidP="00B02F37">
      <w:pPr>
        <w:pStyle w:val="a4"/>
        <w:pBdr>
          <w:top w:val="single" w:sz="4" w:space="1" w:color="auto"/>
          <w:left w:val="single" w:sz="4" w:space="4" w:color="auto"/>
          <w:bottom w:val="single" w:sz="4" w:space="1" w:color="auto"/>
          <w:right w:val="single" w:sz="4" w:space="4" w:color="auto"/>
        </w:pBdr>
        <w:ind w:left="2160" w:right="926"/>
        <w:jc w:val="both"/>
        <w:rPr>
          <w:rFonts w:ascii="Arial" w:hAnsi="Arial" w:cs="Arial"/>
          <w:b/>
          <w:bCs/>
          <w:sz w:val="20"/>
          <w:szCs w:val="20"/>
        </w:rPr>
      </w:pPr>
    </w:p>
    <w:p w:rsidR="00B02F37" w:rsidRPr="00B529EC" w:rsidRDefault="00B02F37" w:rsidP="00B02F37">
      <w:pPr>
        <w:pStyle w:val="a4"/>
        <w:pBdr>
          <w:top w:val="single" w:sz="4" w:space="1" w:color="auto"/>
          <w:left w:val="single" w:sz="4" w:space="4" w:color="auto"/>
          <w:bottom w:val="single" w:sz="4" w:space="1" w:color="auto"/>
          <w:right w:val="single" w:sz="4" w:space="4" w:color="auto"/>
        </w:pBdr>
        <w:ind w:left="1440" w:right="926" w:firstLine="0"/>
        <w:jc w:val="both"/>
        <w:rPr>
          <w:rFonts w:ascii="Arial" w:hAnsi="Arial" w:cs="Arial"/>
          <w:sz w:val="20"/>
          <w:szCs w:val="20"/>
        </w:rPr>
      </w:pPr>
      <w:r w:rsidRPr="00B529EC">
        <w:rPr>
          <w:rFonts w:ascii="Arial" w:hAnsi="Arial" w:cs="Arial"/>
          <w:sz w:val="20"/>
          <w:szCs w:val="20"/>
        </w:rPr>
        <w:t>Despite the weakening world economy, our export receipts are continuing to climb. … Conversely, the sharp resurgence in demand in our economy has yet to have any measurable impact on imports. … The overwhelming reason for such an extraordinary and unexpected turn of events is the super-competitive level of the Australian dollar. …</w:t>
      </w:r>
    </w:p>
    <w:p w:rsidR="00B02F37" w:rsidRPr="00B529EC" w:rsidRDefault="00B02F37" w:rsidP="00B02F37">
      <w:pPr>
        <w:pStyle w:val="a4"/>
        <w:pBdr>
          <w:top w:val="single" w:sz="4" w:space="1" w:color="auto"/>
          <w:left w:val="single" w:sz="4" w:space="4" w:color="auto"/>
          <w:bottom w:val="single" w:sz="4" w:space="1" w:color="auto"/>
          <w:right w:val="single" w:sz="4" w:space="4" w:color="auto"/>
        </w:pBdr>
        <w:ind w:left="1440" w:right="926" w:firstLine="0"/>
        <w:jc w:val="both"/>
        <w:rPr>
          <w:rFonts w:ascii="Arial" w:hAnsi="Arial" w:cs="Arial"/>
          <w:sz w:val="20"/>
          <w:szCs w:val="20"/>
        </w:rPr>
      </w:pPr>
    </w:p>
    <w:p w:rsidR="00B02F37" w:rsidRPr="00B529EC" w:rsidRDefault="00B02F37" w:rsidP="00B02F37">
      <w:pPr>
        <w:pStyle w:val="a4"/>
        <w:pBdr>
          <w:top w:val="single" w:sz="4" w:space="1" w:color="auto"/>
          <w:left w:val="single" w:sz="4" w:space="4" w:color="auto"/>
          <w:bottom w:val="single" w:sz="4" w:space="1" w:color="auto"/>
          <w:right w:val="single" w:sz="4" w:space="4" w:color="auto"/>
        </w:pBdr>
        <w:ind w:left="1440" w:right="926" w:firstLine="0"/>
        <w:jc w:val="both"/>
        <w:rPr>
          <w:rFonts w:ascii="Arial" w:hAnsi="Arial" w:cs="Arial"/>
          <w:sz w:val="20"/>
          <w:szCs w:val="20"/>
        </w:rPr>
      </w:pPr>
      <w:r w:rsidRPr="00B529EC">
        <w:rPr>
          <w:rFonts w:ascii="Arial" w:hAnsi="Arial" w:cs="Arial"/>
          <w:sz w:val="20"/>
          <w:szCs w:val="20"/>
        </w:rPr>
        <w:t xml:space="preserve">To the extent that there is a real threat to this outcome, it lies with the inherent uncertainty of the level of the Australian dollar. The dollar cannot remain at such a super-competitive level forever … </w:t>
      </w:r>
    </w:p>
    <w:p w:rsidR="00B02F37" w:rsidRPr="00B529EC" w:rsidRDefault="00B02F37" w:rsidP="00B02F37">
      <w:pPr>
        <w:pStyle w:val="a4"/>
        <w:pBdr>
          <w:top w:val="single" w:sz="4" w:space="1" w:color="auto"/>
          <w:left w:val="single" w:sz="4" w:space="4" w:color="auto"/>
          <w:bottom w:val="single" w:sz="4" w:space="1" w:color="auto"/>
          <w:right w:val="single" w:sz="4" w:space="4" w:color="auto"/>
        </w:pBdr>
        <w:ind w:left="1440" w:right="926" w:firstLine="0"/>
        <w:jc w:val="both"/>
        <w:rPr>
          <w:rFonts w:ascii="Arial" w:hAnsi="Arial" w:cs="Arial"/>
          <w:sz w:val="20"/>
          <w:szCs w:val="20"/>
        </w:rPr>
      </w:pPr>
    </w:p>
    <w:p w:rsidR="00B02F37" w:rsidRPr="00B529EC" w:rsidRDefault="00B02F37" w:rsidP="00B02F37">
      <w:pPr>
        <w:pStyle w:val="a4"/>
        <w:pBdr>
          <w:top w:val="single" w:sz="4" w:space="1" w:color="auto"/>
          <w:left w:val="single" w:sz="4" w:space="4" w:color="auto"/>
          <w:bottom w:val="single" w:sz="4" w:space="1" w:color="auto"/>
          <w:right w:val="single" w:sz="4" w:space="4" w:color="auto"/>
        </w:pBdr>
        <w:ind w:left="1440" w:right="926" w:firstLine="0"/>
        <w:jc w:val="both"/>
        <w:rPr>
          <w:rFonts w:ascii="Arial" w:hAnsi="Arial" w:cs="Arial"/>
          <w:i/>
          <w:sz w:val="18"/>
          <w:szCs w:val="18"/>
        </w:rPr>
      </w:pPr>
      <w:r w:rsidRPr="00B529EC">
        <w:rPr>
          <w:rFonts w:ascii="Arial" w:hAnsi="Arial" w:cs="Arial"/>
          <w:i/>
          <w:sz w:val="18"/>
          <w:szCs w:val="18"/>
        </w:rPr>
        <w:lastRenderedPageBreak/>
        <w:t>Courier Mail, Sept 3 2001.</w:t>
      </w:r>
    </w:p>
    <w:p w:rsidR="00B02F37" w:rsidRPr="00B529EC" w:rsidRDefault="00B02F37" w:rsidP="00B02F37">
      <w:pPr>
        <w:pStyle w:val="a4"/>
        <w:rPr>
          <w:rFonts w:ascii="Arial" w:hAnsi="Arial" w:cs="Arial"/>
          <w:sz w:val="20"/>
          <w:szCs w:val="20"/>
        </w:rPr>
      </w:pPr>
      <w:r w:rsidRPr="00B529EC">
        <w:rPr>
          <w:rFonts w:ascii="Arial" w:hAnsi="Arial" w:cs="Arial"/>
          <w:sz w:val="20"/>
          <w:szCs w:val="20"/>
        </w:rPr>
        <w:tab/>
      </w:r>
    </w:p>
    <w:p w:rsidR="00B02F37" w:rsidRPr="00B529EC" w:rsidRDefault="00B02F37" w:rsidP="00B02F37">
      <w:pPr>
        <w:pStyle w:val="a4"/>
        <w:rPr>
          <w:rFonts w:ascii="Arial" w:hAnsi="Arial" w:cs="Arial"/>
          <w:sz w:val="20"/>
          <w:szCs w:val="20"/>
        </w:rPr>
      </w:pPr>
    </w:p>
    <w:p w:rsidR="00B02F37" w:rsidRPr="00B529EC" w:rsidRDefault="00B02F37" w:rsidP="00B02F37">
      <w:pPr>
        <w:pStyle w:val="a4"/>
        <w:numPr>
          <w:ilvl w:val="0"/>
          <w:numId w:val="4"/>
        </w:numPr>
        <w:rPr>
          <w:rFonts w:ascii="Arial" w:hAnsi="Arial" w:cs="Arial"/>
          <w:sz w:val="20"/>
          <w:szCs w:val="20"/>
        </w:rPr>
      </w:pPr>
      <w:r w:rsidRPr="00B529EC">
        <w:rPr>
          <w:rFonts w:ascii="Arial" w:hAnsi="Arial" w:cs="Arial"/>
          <w:sz w:val="20"/>
          <w:szCs w:val="20"/>
        </w:rPr>
        <w:t xml:space="preserve">Refer to the first paragraph of the press cutting. Describe how the events: “weakening world economy” and “sharp resurgence in demand in our economy” relate to trade balance of our economy. What does it mean when the writer said the Australian dollar is at a “super-competitive” level? Now, explain why, despite the internal and external events in 2001, </w:t>
      </w:r>
      <w:smartTag w:uri="urn:schemas-microsoft-com:office:smarttags" w:element="country-region">
        <w:smartTag w:uri="urn:schemas-microsoft-com:office:smarttags" w:element="place">
          <w:r w:rsidRPr="00B529EC">
            <w:rPr>
              <w:rFonts w:ascii="Arial" w:hAnsi="Arial" w:cs="Arial"/>
              <w:sz w:val="20"/>
              <w:szCs w:val="20"/>
            </w:rPr>
            <w:t>Australia</w:t>
          </w:r>
        </w:smartTag>
      </w:smartTag>
      <w:r w:rsidRPr="00B529EC">
        <w:rPr>
          <w:rFonts w:ascii="Arial" w:hAnsi="Arial" w:cs="Arial"/>
          <w:sz w:val="20"/>
          <w:szCs w:val="20"/>
        </w:rPr>
        <w:t xml:space="preserve">’s CAD was improving, rather than worsening in that year. </w:t>
      </w:r>
    </w:p>
    <w:p w:rsidR="00B02F37" w:rsidRPr="00B529EC" w:rsidRDefault="00B02F37" w:rsidP="00B02F37">
      <w:pPr>
        <w:pStyle w:val="a4"/>
        <w:ind w:left="0" w:firstLine="0"/>
        <w:jc w:val="right"/>
        <w:rPr>
          <w:rFonts w:ascii="Arial" w:hAnsi="Arial" w:cs="Arial"/>
          <w:sz w:val="20"/>
          <w:szCs w:val="20"/>
        </w:rPr>
      </w:pPr>
    </w:p>
    <w:p w:rsidR="00B02F37" w:rsidRPr="00B529EC" w:rsidRDefault="00B02F37" w:rsidP="00B02F37">
      <w:pPr>
        <w:pStyle w:val="a4"/>
        <w:numPr>
          <w:ilvl w:val="0"/>
          <w:numId w:val="4"/>
        </w:numPr>
        <w:tabs>
          <w:tab w:val="clear" w:pos="720"/>
        </w:tabs>
        <w:rPr>
          <w:rFonts w:ascii="Arial" w:hAnsi="Arial" w:cs="Arial"/>
          <w:sz w:val="20"/>
          <w:szCs w:val="20"/>
        </w:rPr>
      </w:pPr>
      <w:r w:rsidRPr="00B529EC">
        <w:rPr>
          <w:rFonts w:ascii="Arial" w:hAnsi="Arial" w:cs="Arial"/>
          <w:sz w:val="20"/>
          <w:szCs w:val="20"/>
        </w:rPr>
        <w:t xml:space="preserve">In the second paragraph, it says the Australian dollar cannot stay at such a “super competitive level”. Why? Explain </w:t>
      </w:r>
      <w:r w:rsidRPr="00B529EC">
        <w:rPr>
          <w:rFonts w:ascii="Arial" w:hAnsi="Arial" w:cs="Arial"/>
          <w:b/>
          <w:bCs/>
          <w:sz w:val="20"/>
          <w:szCs w:val="20"/>
        </w:rPr>
        <w:t>with the use of diagrams.</w:t>
      </w:r>
    </w:p>
    <w:p w:rsidR="00B02F37" w:rsidRDefault="00B02F37" w:rsidP="00B02F37">
      <w:pPr>
        <w:rPr>
          <w:rFonts w:ascii="Arial" w:hAnsi="Arial" w:cs="Arial"/>
          <w:sz w:val="20"/>
          <w:szCs w:val="20"/>
        </w:rPr>
      </w:pPr>
    </w:p>
    <w:p w:rsidR="00B02F37" w:rsidRDefault="00B02F37" w:rsidP="00B02F37"/>
    <w:sectPr w:rsidR="00B02F37" w:rsidSect="000619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44B2"/>
    <w:multiLevelType w:val="hybridMultilevel"/>
    <w:tmpl w:val="8F78642E"/>
    <w:lvl w:ilvl="0" w:tplc="41CCB11A">
      <w:start w:val="1"/>
      <w:numFmt w:val="lowerLetter"/>
      <w:lvlText w:val="(%1)"/>
      <w:lvlJc w:val="left"/>
      <w:pPr>
        <w:tabs>
          <w:tab w:val="num" w:pos="360"/>
        </w:tabs>
        <w:ind w:left="360" w:hanging="360"/>
      </w:pPr>
      <w:rPr>
        <w:rFonts w:hint="default"/>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C2C018D"/>
    <w:multiLevelType w:val="hybridMultilevel"/>
    <w:tmpl w:val="548AB162"/>
    <w:lvl w:ilvl="0" w:tplc="FD6471C6">
      <w:start w:val="1"/>
      <w:numFmt w:val="lowerLetter"/>
      <w:lvlText w:val="(%1)"/>
      <w:lvlJc w:val="left"/>
      <w:pPr>
        <w:tabs>
          <w:tab w:val="num" w:pos="720"/>
        </w:tabs>
        <w:ind w:left="720" w:hanging="72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65536A64"/>
    <w:multiLevelType w:val="hybridMultilevel"/>
    <w:tmpl w:val="399C9CD2"/>
    <w:lvl w:ilvl="0" w:tplc="41CCB11A">
      <w:start w:val="1"/>
      <w:numFmt w:val="lowerLetter"/>
      <w:lvlText w:val="(%1)"/>
      <w:lvlJc w:val="left"/>
      <w:pPr>
        <w:tabs>
          <w:tab w:val="num" w:pos="360"/>
        </w:tabs>
        <w:ind w:left="360" w:hanging="36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6ACB4687"/>
    <w:multiLevelType w:val="multilevel"/>
    <w:tmpl w:val="CA8A9582"/>
    <w:lvl w:ilvl="0">
      <w:start w:val="1"/>
      <w:numFmt w:val="decimal"/>
      <w:pStyle w:val="qmarker"/>
      <w:lvlText w:val="QUESTION %1"/>
      <w:lvlJc w:val="left"/>
      <w:pPr>
        <w:tabs>
          <w:tab w:val="num" w:pos="1797"/>
        </w:tabs>
        <w:ind w:left="0" w:firstLine="0"/>
      </w:pPr>
      <w:rPr>
        <w:rFonts w:ascii="Times New Roman" w:hAnsi="Times New Roman" w:cs="Times New Roman" w:hint="default"/>
        <w:b/>
        <w:i w:val="0"/>
        <w:sz w:val="20"/>
        <w:u w:val="single"/>
      </w:rPr>
    </w:lvl>
    <w:lvl w:ilvl="1">
      <w:start w:val="1"/>
      <w:numFmt w:val="lowerLetter"/>
      <w:pStyle w:val="Responses"/>
      <w:lvlText w:val="(%2)"/>
      <w:lvlJc w:val="left"/>
      <w:pPr>
        <w:tabs>
          <w:tab w:val="num" w:pos="720"/>
        </w:tabs>
        <w:ind w:left="720" w:hanging="720"/>
      </w:pPr>
      <w:rPr>
        <w:rFonts w:ascii="Times New Roman" w:hAnsi="Times New Roman" w:cs="Times New Roman" w:hint="default"/>
        <w:b w:val="0"/>
        <w:i w:val="0"/>
        <w:sz w:val="24"/>
      </w:rPr>
    </w:lvl>
    <w:lvl w:ilvl="2">
      <w:start w:val="1"/>
      <w:numFmt w:val="lowerRoman"/>
      <w:lvlText w:val="(%3)"/>
      <w:lvlJc w:val="left"/>
      <w:pPr>
        <w:tabs>
          <w:tab w:val="num" w:pos="1440"/>
        </w:tabs>
        <w:ind w:left="1077" w:hanging="357"/>
      </w:pPr>
      <w:rPr>
        <w:rFonts w:ascii="Times New Roman" w:hAnsi="Times New Roman" w:cs="Times New Roman" w:hint="default"/>
        <w:b w:val="0"/>
        <w:i w:val="0"/>
        <w:sz w:val="24"/>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02F37"/>
    <w:rsid w:val="000619DE"/>
    <w:rsid w:val="0015090A"/>
    <w:rsid w:val="001F72FE"/>
    <w:rsid w:val="003D0F13"/>
    <w:rsid w:val="004914B8"/>
    <w:rsid w:val="004C6CE6"/>
    <w:rsid w:val="00736C75"/>
    <w:rsid w:val="007E3AD3"/>
    <w:rsid w:val="00B02F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F37"/>
    <w:pPr>
      <w:spacing w:after="0" w:line="240" w:lineRule="auto"/>
    </w:pPr>
    <w:rPr>
      <w:rFonts w:ascii="Times New Roman" w:eastAsia="Times New Roman" w:hAnsi="Times New Roman" w:cs="Times New Roman"/>
      <w:sz w:val="24"/>
      <w:szCs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marker">
    <w:name w:val="qmarker"/>
    <w:basedOn w:val="a"/>
    <w:next w:val="a"/>
    <w:autoRedefine/>
    <w:rsid w:val="00B02F37"/>
    <w:pPr>
      <w:numPr>
        <w:numId w:val="1"/>
      </w:numPr>
    </w:pPr>
  </w:style>
  <w:style w:type="paragraph" w:customStyle="1" w:styleId="Responses">
    <w:name w:val="Responses"/>
    <w:basedOn w:val="a"/>
    <w:autoRedefine/>
    <w:rsid w:val="00B02F37"/>
    <w:pPr>
      <w:numPr>
        <w:ilvl w:val="1"/>
        <w:numId w:val="1"/>
      </w:numPr>
      <w:tabs>
        <w:tab w:val="clear" w:pos="720"/>
      </w:tabs>
      <w:spacing w:after="120"/>
    </w:pPr>
  </w:style>
  <w:style w:type="paragraph" w:styleId="a3">
    <w:name w:val="List Paragraph"/>
    <w:basedOn w:val="a"/>
    <w:uiPriority w:val="34"/>
    <w:qFormat/>
    <w:rsid w:val="00B02F37"/>
    <w:pPr>
      <w:ind w:left="720"/>
      <w:contextualSpacing/>
    </w:pPr>
  </w:style>
  <w:style w:type="paragraph" w:styleId="a4">
    <w:name w:val="Body Text Indent"/>
    <w:basedOn w:val="a"/>
    <w:link w:val="Char"/>
    <w:rsid w:val="00B02F37"/>
    <w:pPr>
      <w:ind w:left="720" w:hanging="720"/>
    </w:pPr>
  </w:style>
  <w:style w:type="character" w:customStyle="1" w:styleId="Char">
    <w:name w:val="正文文本缩进 Char"/>
    <w:basedOn w:val="a0"/>
    <w:link w:val="a4"/>
    <w:rsid w:val="00B02F37"/>
    <w:rPr>
      <w:rFonts w:ascii="Times New Roman" w:eastAsia="Times New Roman" w:hAnsi="Times New Roman" w:cs="Times New Roman"/>
      <w:sz w:val="24"/>
      <w:szCs w:val="24"/>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2611</Characters>
  <Application>Microsoft Office Word</Application>
  <DocSecurity>0</DocSecurity>
  <Lines>21</Lines>
  <Paragraphs>6</Paragraphs>
  <ScaleCrop>false</ScaleCrop>
  <Company>QUT</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cp:revision>
  <dcterms:created xsi:type="dcterms:W3CDTF">2009-08-01T03:58:00Z</dcterms:created>
  <dcterms:modified xsi:type="dcterms:W3CDTF">2009-08-01T03:59:00Z</dcterms:modified>
</cp:coreProperties>
</file>