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>Landry’s has grown significantly in recent years, with its balance sheets in Exhibit 13.2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color w:val="000000"/>
          <w:sz w:val="24"/>
          <w:szCs w:val="24"/>
        </w:rPr>
        <w:t>showing</w:t>
      </w:r>
      <w:proofErr w:type="gramEnd"/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a 35 percent increase in total assets from $690 million in 2001 to $933 million in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>2002 [35% = ($933 - 690) divide $690 X 100%]. In 2003, total assets increased again, from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AFF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color w:val="000000"/>
          <w:sz w:val="24"/>
          <w:szCs w:val="24"/>
        </w:rPr>
        <w:t>$933 million in 2002 to $1.1 billion in 2003.</w:t>
      </w:r>
      <w:proofErr w:type="gramEnd"/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Most of this growth appears in the </w:t>
      </w:r>
      <w:r w:rsidRPr="00C21A88">
        <w:rPr>
          <w:rFonts w:ascii="Times New Roman" w:hAnsi="Times New Roman" w:cs="Times New Roman"/>
          <w:i/>
          <w:iCs/>
          <w:color w:val="00AFF0"/>
          <w:sz w:val="24"/>
          <w:szCs w:val="24"/>
        </w:rPr>
        <w:t>Property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i/>
          <w:iCs/>
          <w:color w:val="00AFF0"/>
          <w:sz w:val="24"/>
          <w:szCs w:val="24"/>
        </w:rPr>
        <w:t>and</w:t>
      </w:r>
      <w:proofErr w:type="gramEnd"/>
      <w:r w:rsidRPr="00C21A88">
        <w:rPr>
          <w:rFonts w:ascii="Times New Roman" w:hAnsi="Times New Roman" w:cs="Times New Roman"/>
          <w:i/>
          <w:iCs/>
          <w:color w:val="00AFF0"/>
          <w:sz w:val="24"/>
          <w:szCs w:val="24"/>
        </w:rPr>
        <w:t xml:space="preserve"> Equipment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category. The financial highlights section of Landry’s annual report explains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cause of this growth. The company added 95 new restaurants during 2002 and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color w:val="000000"/>
          <w:sz w:val="24"/>
          <w:szCs w:val="24"/>
        </w:rPr>
        <w:t>2003, bringing the number of restaurants to 286 at December 31, 2003.</w:t>
      </w:r>
      <w:proofErr w:type="gramEnd"/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The liabilities and</w:t>
      </w:r>
    </w:p>
    <w:p w:rsidR="00D87F71" w:rsidRPr="00C21A88" w:rsidRDefault="00C21A88" w:rsidP="00C21A8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color w:val="000000"/>
          <w:sz w:val="24"/>
          <w:szCs w:val="24"/>
        </w:rPr>
        <w:t>stockholders</w:t>
      </w:r>
      <w:proofErr w:type="gramEnd"/>
      <w:r w:rsidRPr="00C21A88">
        <w:rPr>
          <w:rFonts w:ascii="Times New Roman" w:hAnsi="Times New Roman" w:cs="Times New Roman"/>
          <w:color w:val="000000"/>
          <w:sz w:val="24"/>
          <w:szCs w:val="24"/>
        </w:rPr>
        <w:t>’ equity section of the balance sheets in Exhibit 13.2 suggest that the growth</w:t>
      </w:r>
    </w:p>
    <w:p w:rsidR="00C21A88" w:rsidRDefault="00C21A88" w:rsidP="00C21A88">
      <w:pPr>
        <w:rPr>
          <w:rFonts w:ascii="Goudy" w:hAnsi="Goudy" w:cs="Goudy"/>
          <w:color w:val="000000"/>
          <w:sz w:val="19"/>
          <w:szCs w:val="19"/>
        </w:rPr>
      </w:pP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E1846"/>
          <w:sz w:val="24"/>
          <w:szCs w:val="24"/>
        </w:rPr>
      </w:pPr>
      <w:proofErr w:type="gramStart"/>
      <w:r w:rsidRPr="00C21A88">
        <w:rPr>
          <w:rFonts w:ascii="Times New Roman" w:hAnsi="Times New Roman" w:cs="Times New Roman"/>
          <w:b/>
          <w:bCs/>
          <w:color w:val="EE1846"/>
          <w:sz w:val="24"/>
          <w:szCs w:val="24"/>
        </w:rPr>
        <w:t>LANDRY’S RESTAURANTS, INC.</w:t>
      </w:r>
      <w:proofErr w:type="gramEnd"/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1A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Balance Sheets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21A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gramStart"/>
      <w:r w:rsidRPr="00C21A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</w:t>
      </w:r>
      <w:proofErr w:type="gramEnd"/>
      <w:r w:rsidRPr="00C21A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thousands)</w:t>
      </w:r>
    </w:p>
    <w:p w:rsid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Year Ended December 31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Assets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>Current Assets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Cash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$ 35,211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$13,878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$ 31,081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Accounts Receivable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23,272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19,910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13,519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Inventories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47,772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40,879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33,563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Other Current Assets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  <w:u w:val="single"/>
        </w:rPr>
        <w:t>14,349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  <w:u w:val="single"/>
        </w:rPr>
        <w:t>18,002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  <w:u w:val="single"/>
        </w:rPr>
        <w:t>15,958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Total Current Assets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120,604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92,669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94,121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Property and Equipment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965,575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830,930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587,829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Goodwill and Other Assets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16,606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9,416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8,221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>Total Assets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$1,102,785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$933,015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$690,171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Liabilities and Stockholders’ Equity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Current Liabilities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$ 159,581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$148,354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$100,137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Long-Term Liabilities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338,654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217,586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196,364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Total Liabilities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498,235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 365,940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296,501</w:t>
      </w:r>
    </w:p>
    <w:p w:rsidR="00C21A88" w:rsidRPr="00C21A88" w:rsidRDefault="00C21A88" w:rsidP="00C21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Stockholders’ Equity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604,550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567,075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393,670</w:t>
      </w:r>
    </w:p>
    <w:p w:rsidR="00C21A88" w:rsidRDefault="00C21A88" w:rsidP="00C21A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Total Liabilities and Stockholders’ Equity$1,102,785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 xml:space="preserve">$933,015 </w:t>
      </w:r>
      <w:r w:rsidR="00886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21A88">
        <w:rPr>
          <w:rFonts w:ascii="Times New Roman" w:hAnsi="Times New Roman" w:cs="Times New Roman"/>
          <w:color w:val="000000"/>
          <w:sz w:val="24"/>
          <w:szCs w:val="24"/>
        </w:rPr>
        <w:t>$690,171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in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these assets has been financed by both debt (total liabilities are up from $297 million in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" w:hAnsi="Goudy" w:cs="Goudy"/>
          <w:color w:val="000000"/>
          <w:sz w:val="19"/>
          <w:szCs w:val="19"/>
        </w:rPr>
        <w:t>2001 to $498 million in 2003) and equity (stockholders’ equity is up from $394 million in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2001 to $605 million in 2003).</w:t>
      </w:r>
      <w:proofErr w:type="gramEnd"/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" w:hAnsi="Goudy" w:cs="Goudy"/>
          <w:color w:val="000000"/>
          <w:sz w:val="19"/>
          <w:szCs w:val="19"/>
        </w:rPr>
        <w:t>The income statements in Exhibit 13.3 show that this growth has significantly increased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revenues</w:t>
      </w:r>
      <w:proofErr w:type="gramEnd"/>
      <w:r>
        <w:rPr>
          <w:rFonts w:ascii="Goudy" w:hAnsi="Goudy" w:cs="Goudy"/>
          <w:color w:val="000000"/>
          <w:sz w:val="19"/>
          <w:szCs w:val="19"/>
        </w:rPr>
        <w:t>, expenses, and net income in 2003 as compared to 2002 and 2001. The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statements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of cash flows in Exhibit 13.4 indicate that this growth also has produced increased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cash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flow from operating activities. The short story, based on these trend analyses,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is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that the company has been expanding its asset base, using financing provided by creditors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and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stockholders, who are being rewarded with increases in profits and operating cash flows.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EE1846"/>
          <w:sz w:val="20"/>
          <w:szCs w:val="20"/>
        </w:rPr>
      </w:pPr>
      <w:r>
        <w:rPr>
          <w:rFonts w:ascii="Univers-Bold" w:hAnsi="Univers-Bold" w:cs="Univers-Bold"/>
          <w:b/>
          <w:bCs/>
          <w:color w:val="EE1846"/>
          <w:sz w:val="20"/>
          <w:szCs w:val="20"/>
        </w:rPr>
        <w:t>Ratio Analyses Using Landry’s Financial Statements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" w:hAnsi="Goudy" w:cs="Goudy"/>
          <w:color w:val="000000"/>
          <w:sz w:val="19"/>
          <w:szCs w:val="19"/>
        </w:rPr>
        <w:t>Our ratio analyses are split into three general categories of performance: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-Bold" w:hAnsi="Goudy-Bold" w:cs="Goudy-Bold"/>
          <w:b/>
          <w:bCs/>
          <w:color w:val="000000"/>
          <w:sz w:val="19"/>
          <w:szCs w:val="19"/>
        </w:rPr>
        <w:t>1. Profitability</w:t>
      </w:r>
      <w:r>
        <w:rPr>
          <w:rFonts w:ascii="Goudy" w:hAnsi="Goudy" w:cs="Goudy"/>
          <w:color w:val="000000"/>
          <w:sz w:val="19"/>
          <w:szCs w:val="19"/>
        </w:rPr>
        <w:t xml:space="preserve">, which relates to performance in the </w:t>
      </w:r>
      <w:r>
        <w:rPr>
          <w:rFonts w:ascii="Goudy-Italic" w:hAnsi="Goudy-Italic" w:cs="Goudy-Italic"/>
          <w:i/>
          <w:iCs/>
          <w:color w:val="000000"/>
          <w:sz w:val="19"/>
          <w:szCs w:val="19"/>
        </w:rPr>
        <w:t xml:space="preserve">current period. </w:t>
      </w:r>
      <w:r>
        <w:rPr>
          <w:rFonts w:ascii="Goudy" w:hAnsi="Goudy" w:cs="Goudy"/>
          <w:color w:val="000000"/>
          <w:sz w:val="19"/>
          <w:szCs w:val="19"/>
        </w:rPr>
        <w:t>In particular, the focus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is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on the company’s ability to generate income during the period.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-Bold" w:hAnsi="Goudy-Bold" w:cs="Goudy-Bold"/>
          <w:b/>
          <w:bCs/>
          <w:color w:val="000000"/>
          <w:sz w:val="19"/>
          <w:szCs w:val="19"/>
        </w:rPr>
        <w:t>2. Liquidity</w:t>
      </w:r>
      <w:r>
        <w:rPr>
          <w:rFonts w:ascii="Goudy" w:hAnsi="Goudy" w:cs="Goudy"/>
          <w:color w:val="000000"/>
          <w:sz w:val="19"/>
          <w:szCs w:val="19"/>
        </w:rPr>
        <w:t xml:space="preserve">, which relates to the company’s </w:t>
      </w:r>
      <w:r>
        <w:rPr>
          <w:rFonts w:ascii="Goudy-Italic" w:hAnsi="Goudy-Italic" w:cs="Goudy-Italic"/>
          <w:i/>
          <w:iCs/>
          <w:color w:val="000000"/>
          <w:sz w:val="19"/>
          <w:szCs w:val="19"/>
        </w:rPr>
        <w:t xml:space="preserve">short-term </w:t>
      </w:r>
      <w:r>
        <w:rPr>
          <w:rFonts w:ascii="Goudy" w:hAnsi="Goudy" w:cs="Goudy"/>
          <w:color w:val="000000"/>
          <w:sz w:val="19"/>
          <w:szCs w:val="19"/>
        </w:rPr>
        <w:t>survival. In particular, the focus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is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on the company’s ability to use current assets to repay liabilities as they become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due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in the short-term.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-Bold" w:hAnsi="Goudy-Bold" w:cs="Goudy-Bold"/>
          <w:b/>
          <w:bCs/>
          <w:color w:val="000000"/>
          <w:sz w:val="19"/>
          <w:szCs w:val="19"/>
        </w:rPr>
        <w:t>3. Solvency</w:t>
      </w:r>
      <w:r>
        <w:rPr>
          <w:rFonts w:ascii="Goudy" w:hAnsi="Goudy" w:cs="Goudy"/>
          <w:color w:val="000000"/>
          <w:sz w:val="19"/>
          <w:szCs w:val="19"/>
        </w:rPr>
        <w:t xml:space="preserve">, which relates to the company’s </w:t>
      </w:r>
      <w:r>
        <w:rPr>
          <w:rFonts w:ascii="Goudy-Italic" w:hAnsi="Goudy-Italic" w:cs="Goudy-Italic"/>
          <w:i/>
          <w:iCs/>
          <w:color w:val="000000"/>
          <w:sz w:val="19"/>
          <w:szCs w:val="19"/>
        </w:rPr>
        <w:t xml:space="preserve">long-run </w:t>
      </w:r>
      <w:r>
        <w:rPr>
          <w:rFonts w:ascii="Goudy" w:hAnsi="Goudy" w:cs="Goudy"/>
          <w:color w:val="000000"/>
          <w:sz w:val="19"/>
          <w:szCs w:val="19"/>
        </w:rPr>
        <w:t>survival. In particular, the focus is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lastRenderedPageBreak/>
        <w:t>on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the company’s ability to repay lenders when debt matures (and to make required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interest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payments prior to the date of maturity).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r>
        <w:rPr>
          <w:rFonts w:ascii="Goudy" w:hAnsi="Goudy" w:cs="Goudy"/>
          <w:color w:val="000000"/>
          <w:sz w:val="19"/>
          <w:szCs w:val="19"/>
        </w:rPr>
        <w:t>Exhibit 13.5 summarizes and groups the ratios from earlier chapters in terms of these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three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categories. The following analyses, focused on the restaurant industry, show how</w:t>
      </w:r>
    </w:p>
    <w:p w:rsidR="00886264" w:rsidRDefault="00886264" w:rsidP="00886264">
      <w:pPr>
        <w:rPr>
          <w:rFonts w:ascii="Goudy" w:hAnsi="Goudy" w:cs="Goudy"/>
          <w:color w:val="000000"/>
          <w:sz w:val="19"/>
          <w:szCs w:val="19"/>
        </w:rPr>
      </w:pPr>
      <w:proofErr w:type="gramStart"/>
      <w:r>
        <w:rPr>
          <w:rFonts w:ascii="Goudy" w:hAnsi="Goudy" w:cs="Goudy"/>
          <w:color w:val="000000"/>
          <w:sz w:val="19"/>
          <w:szCs w:val="19"/>
        </w:rPr>
        <w:t>these</w:t>
      </w:r>
      <w:proofErr w:type="gramEnd"/>
      <w:r>
        <w:rPr>
          <w:rFonts w:ascii="Goudy" w:hAnsi="Goudy" w:cs="Goudy"/>
          <w:color w:val="000000"/>
          <w:sz w:val="19"/>
          <w:szCs w:val="19"/>
        </w:rPr>
        <w:t xml:space="preserve"> ratios can be used to interpret and evaluate a company’s financial performance.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E1846"/>
          <w:sz w:val="24"/>
          <w:szCs w:val="24"/>
        </w:rPr>
      </w:pPr>
      <w:proofErr w:type="gramStart"/>
      <w:r w:rsidRPr="00886264">
        <w:rPr>
          <w:rFonts w:ascii="Times New Roman" w:hAnsi="Times New Roman" w:cs="Times New Roman"/>
          <w:b/>
          <w:bCs/>
          <w:color w:val="EE1846"/>
          <w:sz w:val="24"/>
          <w:szCs w:val="24"/>
        </w:rPr>
        <w:t>LANDRY’S RESTAURANTS, INC.</w:t>
      </w:r>
      <w:proofErr w:type="gramEnd"/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Income Statements</w:t>
      </w:r>
    </w:p>
    <w:p w:rsidR="00886264" w:rsidRDefault="00886264" w:rsidP="0088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gramStart"/>
      <w:r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</w:t>
      </w:r>
      <w:proofErr w:type="gramEnd"/>
      <w:r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thousands)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8626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 Year Ended December 31</w:t>
      </w:r>
    </w:p>
    <w:p w:rsidR="00886264" w:rsidRPr="00886264" w:rsidRDefault="000C331F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</w:t>
      </w:r>
      <w:r w:rsidR="00886264"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 w:rsidR="00886264"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2002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 w:rsidR="00886264" w:rsidRPr="0088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2001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Revenues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$1,105,755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$894,795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$746,642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>Cost of Revenues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0C331F"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321,783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C331F"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257,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945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219</w:t>
      </w:r>
      <w:r w:rsidR="000C331F"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684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Gross Profit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783,972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636,850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526,958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Operating and Other Expenses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717,018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571,676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478,540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Interest Expense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9,561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4,997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9,402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Income Tax Expense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11,492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18,655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12,096</w:t>
      </w:r>
    </w:p>
    <w:p w:rsidR="00886264" w:rsidRPr="00886264" w:rsidRDefault="00886264" w:rsidP="0088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Net Income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$ 45,901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$ 41,522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  <w:u w:val="single"/>
        </w:rPr>
        <w:t>$ 26,920</w:t>
      </w:r>
    </w:p>
    <w:p w:rsidR="00886264" w:rsidRDefault="00886264" w:rsidP="0088626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Earnings per Share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$1.66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 xml:space="preserve">$1.60 </w:t>
      </w:r>
      <w:r w:rsidR="000C331F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886264">
        <w:rPr>
          <w:rFonts w:ascii="Times New Roman" w:hAnsi="Times New Roman" w:cs="Times New Roman"/>
          <w:color w:val="000000"/>
          <w:sz w:val="20"/>
          <w:szCs w:val="20"/>
        </w:rPr>
        <w:t>$1.24</w:t>
      </w:r>
    </w:p>
    <w:p w:rsidR="000C331F" w:rsidRDefault="000C331F" w:rsidP="008862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331F" w:rsidRDefault="000C331F" w:rsidP="000C331F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color w:val="EE1846"/>
          <w:sz w:val="14"/>
          <w:szCs w:val="14"/>
        </w:rPr>
      </w:pPr>
      <w:proofErr w:type="gramStart"/>
      <w:r w:rsidRPr="000C331F">
        <w:rPr>
          <w:rFonts w:ascii="Times New Roman" w:hAnsi="Times New Roman" w:cs="Times New Roman"/>
          <w:b/>
          <w:bCs/>
          <w:color w:val="EE1846"/>
          <w:sz w:val="24"/>
          <w:szCs w:val="24"/>
        </w:rPr>
        <w:t>LANDRY’S RESTAURANTS, INC</w:t>
      </w:r>
      <w:r>
        <w:rPr>
          <w:rFonts w:ascii="Univers-Bold" w:hAnsi="Univers-Bold" w:cs="Univers-Bold"/>
          <w:b/>
          <w:bCs/>
          <w:color w:val="EE1846"/>
          <w:sz w:val="14"/>
          <w:szCs w:val="14"/>
        </w:rPr>
        <w:t>.</w:t>
      </w:r>
      <w:proofErr w:type="gramEnd"/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Statements of Cash Flows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gramStart"/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</w:t>
      </w:r>
      <w:proofErr w:type="gramEnd"/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thousands)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Year Ended December 31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2003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2002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Cash Flows from Operating Activities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>Net income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$ 45,901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$ 41,522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$ 26,920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Adjustments to reconcile to cash flows from operations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75,629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70,116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62,051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Net cash provided by operating activities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121,530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111,638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88,971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Cash Flows from Investing Activities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Net cash paid for property and equipment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(162,895)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(113,806)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(72,713)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Cash paid for business acquisitions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(27,036)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(161,108)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(32,581)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Net cash used in investing activities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(189,931)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(274,914)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(105,294)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Cash Flows from Financing Activities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Net cash from issuing (repurchasing) common stock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(6,591)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132,978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3,472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Amounts borrowed (paid) for other financing activities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96,325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13,095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17,772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>Net cash provided by financing activities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89,734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146,073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21,244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Net increase in cash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21,333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(17,203)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4,921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Cash at beginning of year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13,878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31,081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26,160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Cash at end of year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$ 35,211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$ 13,878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6467C5">
        <w:rPr>
          <w:rFonts w:ascii="Times New Roman" w:hAnsi="Times New Roman" w:cs="Times New Roman"/>
          <w:color w:val="000000"/>
          <w:sz w:val="20"/>
          <w:szCs w:val="20"/>
          <w:u w:val="single"/>
        </w:rPr>
        <w:t>$ 31,081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Supplemental Disclosure of Cash Flows</w:t>
      </w:r>
    </w:p>
    <w:p w:rsidR="000C331F" w:rsidRPr="000C331F" w:rsidRDefault="000C331F" w:rsidP="000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Cash paid during the period for interest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$ 8,675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 $ 5,567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$ 10,231</w:t>
      </w:r>
    </w:p>
    <w:p w:rsidR="000C331F" w:rsidRPr="000C331F" w:rsidRDefault="000C331F" w:rsidP="000C331F">
      <w:pPr>
        <w:rPr>
          <w:rFonts w:ascii="Times New Roman" w:hAnsi="Times New Roman" w:cs="Times New Roman"/>
          <w:sz w:val="20"/>
          <w:szCs w:val="20"/>
        </w:rPr>
      </w:pP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Cash paid during the period for income taxes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$ 5,699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 xml:space="preserve">$ 8,689 </w:t>
      </w:r>
      <w:r w:rsidR="006467C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0C331F">
        <w:rPr>
          <w:rFonts w:ascii="Times New Roman" w:hAnsi="Times New Roman" w:cs="Times New Roman"/>
          <w:color w:val="000000"/>
          <w:sz w:val="20"/>
          <w:szCs w:val="20"/>
        </w:rPr>
        <w:t>$ 0</w:t>
      </w:r>
    </w:p>
    <w:sectPr w:rsidR="000C331F" w:rsidRPr="000C331F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A88"/>
    <w:rsid w:val="000C331F"/>
    <w:rsid w:val="004351EF"/>
    <w:rsid w:val="006467C5"/>
    <w:rsid w:val="00886264"/>
    <w:rsid w:val="00C21A88"/>
    <w:rsid w:val="00D87F71"/>
    <w:rsid w:val="00E3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1</cp:revision>
  <dcterms:created xsi:type="dcterms:W3CDTF">2009-07-01T19:03:00Z</dcterms:created>
  <dcterms:modified xsi:type="dcterms:W3CDTF">2009-07-01T19:42:00Z</dcterms:modified>
</cp:coreProperties>
</file>