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AF" w:rsidRPr="00B479AF" w:rsidRDefault="00B479AF" w:rsidP="00B479A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7"/>
          <w:szCs w:val="27"/>
        </w:rPr>
      </w:pPr>
      <w:r w:rsidRPr="00B479AF">
        <w:rPr>
          <w:rFonts w:ascii="Arial" w:eastAsia="Times New Roman" w:hAnsi="Arial" w:cs="Arial"/>
          <w:b/>
          <w:bCs/>
          <w:i/>
          <w:iCs/>
          <w:color w:val="333333"/>
          <w:sz w:val="24"/>
          <w:szCs w:val="24"/>
        </w:rPr>
        <w:t xml:space="preserve">For the true false answers only submit the question number and answer -- </w:t>
      </w:r>
      <w:r w:rsidRPr="00B479AF">
        <w:rPr>
          <w:rFonts w:ascii="Arial" w:eastAsia="Times New Roman" w:hAnsi="Arial" w:cs="Arial"/>
          <w:b/>
          <w:bCs/>
          <w:i/>
          <w:iCs/>
          <w:color w:val="FF0000"/>
          <w:sz w:val="24"/>
          <w:szCs w:val="24"/>
        </w:rPr>
        <w:t>do not</w:t>
      </w:r>
      <w:r w:rsidRPr="00B479AF">
        <w:rPr>
          <w:rFonts w:ascii="Arial" w:eastAsia="Times New Roman" w:hAnsi="Arial" w:cs="Arial"/>
          <w:b/>
          <w:bCs/>
          <w:i/>
          <w:iCs/>
          <w:color w:val="333333"/>
          <w:sz w:val="24"/>
          <w:szCs w:val="24"/>
        </w:rPr>
        <w:t xml:space="preserve"> include the question in your answer sheet.  For other questions/problems, please </w:t>
      </w:r>
      <w:r w:rsidRPr="00B479AF">
        <w:rPr>
          <w:rFonts w:ascii="Arial" w:eastAsia="Times New Roman" w:hAnsi="Arial" w:cs="Arial"/>
          <w:b/>
          <w:bCs/>
          <w:i/>
          <w:iCs/>
          <w:color w:val="FF0000"/>
          <w:sz w:val="24"/>
          <w:szCs w:val="24"/>
        </w:rPr>
        <w:t xml:space="preserve">show all of your work </w:t>
      </w:r>
      <w:r w:rsidRPr="00B479AF">
        <w:rPr>
          <w:rFonts w:ascii="Arial" w:eastAsia="Times New Roman" w:hAnsi="Arial" w:cs="Arial"/>
          <w:b/>
          <w:bCs/>
          <w:i/>
          <w:iCs/>
          <w:color w:val="333333"/>
          <w:sz w:val="24"/>
          <w:szCs w:val="24"/>
        </w:rPr>
        <w:t>for full credit.  One Excel attachment is preferred -- do not send in more than one attached file.</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jc w:val="both"/>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w:t>
      </w:r>
      <w:r w:rsidRPr="00C6640D">
        <w:rPr>
          <w:rFonts w:ascii="Arial" w:eastAsia="Times New Roman" w:hAnsi="Arial" w:cs="Times New Roman"/>
          <w:color w:val="333333"/>
          <w:sz w:val="24"/>
          <w:szCs w:val="24"/>
        </w:rPr>
        <w:t>   </w:t>
      </w:r>
      <w:r w:rsidRPr="00C6640D">
        <w:rPr>
          <w:rFonts w:ascii="Arial" w:eastAsia="Times New Roman" w:hAnsi="Arial" w:cs="Times New Roman"/>
          <w:color w:val="000000"/>
          <w:sz w:val="24"/>
          <w:szCs w:val="24"/>
        </w:rPr>
        <w:t>Profit maximization stresses the efficient use of timing and risks.</w:t>
      </w:r>
      <w:r w:rsidRPr="00C6640D">
        <w:rPr>
          <w:rFonts w:ascii="Arial" w:eastAsia="Times New Roman" w:hAnsi="Arial" w:cs="Arial"/>
          <w:color w:val="333333"/>
          <w:sz w:val="24"/>
          <w:szCs w:val="24"/>
        </w:rPr>
        <w:tab/>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jc w:val="both"/>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2.</w:t>
      </w:r>
      <w:r w:rsidRPr="00C6640D">
        <w:rPr>
          <w:rFonts w:ascii="Arial" w:eastAsia="Times New Roman" w:hAnsi="Arial" w:cs="Times New Roman"/>
          <w:color w:val="333333"/>
          <w:sz w:val="24"/>
          <w:szCs w:val="24"/>
        </w:rPr>
        <w:t>   </w:t>
      </w:r>
      <w:r w:rsidRPr="00C6640D">
        <w:rPr>
          <w:rFonts w:ascii="Arial" w:eastAsia="Times New Roman" w:hAnsi="Arial" w:cs="Times New Roman"/>
          <w:color w:val="000000"/>
          <w:sz w:val="24"/>
          <w:szCs w:val="24"/>
        </w:rPr>
        <w:t>Financial assets are tangible assets such as houses, equipment, and inventories.</w:t>
      </w:r>
      <w:r w:rsidRPr="00C6640D">
        <w:rPr>
          <w:rFonts w:ascii="Arial" w:eastAsia="Times New Roman" w:hAnsi="Arial" w:cs="Arial"/>
          <w:color w:val="333333"/>
          <w:sz w:val="24"/>
          <w:szCs w:val="24"/>
        </w:rPr>
        <w:t xml:space="preserve"> </w:t>
      </w:r>
      <w:r w:rsidRPr="00C6640D">
        <w:rPr>
          <w:rFonts w:ascii="Arial" w:eastAsia="Times New Roman" w:hAnsi="Arial" w:cs="Arial"/>
          <w:color w:val="333333"/>
          <w:sz w:val="24"/>
          <w:szCs w:val="24"/>
        </w:rPr>
        <w:tab/>
      </w:r>
      <w:r w:rsidRPr="00C6640D">
        <w:rPr>
          <w:rFonts w:ascii="Arial" w:eastAsia="Times New Roman" w:hAnsi="Arial" w:cs="Arial"/>
          <w:color w:val="333333"/>
          <w:sz w:val="24"/>
          <w:szCs w:val="24"/>
        </w:rPr>
        <w:tab/>
      </w:r>
      <w:r w:rsidRPr="00C6640D">
        <w:rPr>
          <w:rFonts w:ascii="Arial" w:eastAsia="Times New Roman" w:hAnsi="Arial" w:cs="Arial"/>
          <w:color w:val="333333"/>
          <w:sz w:val="24"/>
          <w:szCs w:val="24"/>
        </w:rPr>
        <w:tab/>
      </w:r>
    </w:p>
    <w:p w:rsidR="00C6640D" w:rsidRPr="00C6640D" w:rsidRDefault="00C6640D" w:rsidP="00C6640D">
      <w:pPr>
        <w:widowControl w:val="0"/>
        <w:shd w:val="clear" w:color="auto" w:fill="FFFFFF"/>
        <w:tabs>
          <w:tab w:val="left" w:pos="576"/>
          <w:tab w:val="left" w:pos="2268"/>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3.</w:t>
      </w:r>
      <w:r w:rsidRPr="00C6640D">
        <w:rPr>
          <w:rFonts w:ascii="Arial" w:eastAsia="Times New Roman" w:hAnsi="Arial" w:cs="Times New Roman"/>
          <w:color w:val="333333"/>
          <w:sz w:val="24"/>
          <w:szCs w:val="24"/>
        </w:rPr>
        <w:t>   </w:t>
      </w:r>
      <w:r w:rsidRPr="00C6640D">
        <w:rPr>
          <w:rFonts w:ascii="Arial" w:eastAsia="Times New Roman" w:hAnsi="Arial" w:cs="Times New Roman"/>
          <w:color w:val="000000"/>
          <w:sz w:val="24"/>
          <w:szCs w:val="24"/>
        </w:rPr>
        <w:t>The sustainable rate of growth represents the rate at which a firm’s sales can grow if it wants to maintain its present financial ratios and does not want to resort to a sale of new equity shares.</w:t>
      </w:r>
      <w:r w:rsidRPr="00C6640D">
        <w:rPr>
          <w:rFonts w:ascii="Arial" w:eastAsia="Times New Roman" w:hAnsi="Arial" w:cs="Arial"/>
          <w:color w:val="333333"/>
          <w:sz w:val="24"/>
          <w:szCs w:val="24"/>
        </w:rPr>
        <w:tab/>
      </w:r>
    </w:p>
    <w:p w:rsidR="00C6640D" w:rsidRPr="00C6640D" w:rsidRDefault="00C6640D" w:rsidP="00C6640D">
      <w:pPr>
        <w:widowControl w:val="0"/>
        <w:shd w:val="clear" w:color="auto" w:fill="FFFFFF"/>
        <w:tabs>
          <w:tab w:val="decimal" w:pos="540"/>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4.</w:t>
      </w:r>
      <w:r w:rsidRPr="00C6640D">
        <w:rPr>
          <w:rFonts w:ascii="Arial" w:eastAsia="Times New Roman" w:hAnsi="Arial" w:cs="Times New Roman"/>
          <w:color w:val="333333"/>
          <w:sz w:val="24"/>
          <w:szCs w:val="24"/>
        </w:rPr>
        <w:t>   Business risk refers to the relative disperses in the firm’s expected earnings after interest and taxes.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5.</w:t>
      </w:r>
      <w:r w:rsidRPr="00C6640D">
        <w:rPr>
          <w:rFonts w:ascii="Arial" w:eastAsia="Times New Roman" w:hAnsi="Arial" w:cs="Times New Roman"/>
          <w:color w:val="333333"/>
          <w:sz w:val="24"/>
          <w:szCs w:val="24"/>
        </w:rPr>
        <w:t>   </w:t>
      </w:r>
      <w:r w:rsidRPr="00C6640D">
        <w:rPr>
          <w:rFonts w:ascii="Arial" w:eastAsia="Times New Roman" w:hAnsi="Arial" w:cs="Times New Roman"/>
          <w:color w:val="000000"/>
          <w:sz w:val="24"/>
          <w:szCs w:val="24"/>
        </w:rPr>
        <w:t>New capital-budgeting projects are always new products taken to market.</w:t>
      </w:r>
    </w:p>
    <w:p w:rsidR="00C6640D" w:rsidRPr="00C6640D" w:rsidRDefault="00C6640D" w:rsidP="00C6640D">
      <w:pPr>
        <w:widowControl w:val="0"/>
        <w:shd w:val="clear" w:color="auto" w:fill="FFFFFF"/>
        <w:tabs>
          <w:tab w:val="left" w:pos="576"/>
          <w:tab w:val="left" w:pos="2268"/>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 xml:space="preserve">6.  </w:t>
      </w:r>
      <w:r w:rsidRPr="00C6640D">
        <w:rPr>
          <w:rFonts w:ascii="Arial" w:eastAsia="Times New Roman" w:hAnsi="Arial" w:cs="Times New Roman"/>
          <w:color w:val="000000"/>
          <w:sz w:val="24"/>
          <w:szCs w:val="24"/>
        </w:rPr>
        <w:t>The stock of cash is a type of inventory.</w:t>
      </w:r>
    </w:p>
    <w:p w:rsidR="00C6640D" w:rsidRPr="00C6640D" w:rsidRDefault="00C6640D" w:rsidP="00C6640D">
      <w:pPr>
        <w:shd w:val="clear" w:color="auto" w:fill="FFFFFF"/>
        <w:tabs>
          <w:tab w:val="num" w:pos="360"/>
          <w:tab w:val="right" w:pos="10800"/>
        </w:tabs>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7.</w:t>
      </w:r>
      <w:r w:rsidRPr="00C6640D">
        <w:rPr>
          <w:rFonts w:ascii="Arial" w:eastAsia="Times New Roman" w:hAnsi="Arial" w:cs="Times New Roman"/>
          <w:color w:val="333333"/>
          <w:sz w:val="24"/>
          <w:szCs w:val="24"/>
        </w:rPr>
        <w:t>   If an asset is sold above depreciated value, it may be used to offset gains and thus result in tax savings.</w:t>
      </w:r>
      <w:r w:rsidRPr="00C6640D">
        <w:rPr>
          <w:rFonts w:ascii="Arial" w:eastAsia="Times New Roman" w:hAnsi="Arial" w:cs="Arial"/>
          <w:color w:val="333333"/>
          <w:sz w:val="24"/>
          <w:szCs w:val="24"/>
        </w:rPr>
        <w:tab/>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8.</w:t>
      </w:r>
      <w:r w:rsidRPr="00C6640D">
        <w:rPr>
          <w:rFonts w:ascii="Arial" w:eastAsia="Times New Roman" w:hAnsi="Arial" w:cs="Times New Roman"/>
          <w:color w:val="000000"/>
          <w:sz w:val="24"/>
          <w:szCs w:val="24"/>
        </w:rPr>
        <w:t xml:space="preserve">    Free cash flow is the cash flow in excess of that required to fund all projects with positive and negative net present value when discounted at the relevant cost of capital.</w:t>
      </w:r>
    </w:p>
    <w:p w:rsidR="00C6640D" w:rsidRPr="00C6640D" w:rsidRDefault="00C6640D" w:rsidP="00C6640D">
      <w:pPr>
        <w:shd w:val="clear" w:color="auto" w:fill="FFFFFF"/>
        <w:tabs>
          <w:tab w:val="num" w:pos="360"/>
          <w:tab w:val="right" w:pos="10800"/>
        </w:tabs>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 xml:space="preserve">9.   </w:t>
      </w:r>
      <w:r w:rsidRPr="00C6640D">
        <w:rPr>
          <w:rFonts w:ascii="Arial" w:eastAsia="Times New Roman" w:hAnsi="Arial" w:cs="Times New Roman"/>
          <w:color w:val="000000"/>
          <w:sz w:val="24"/>
          <w:szCs w:val="24"/>
        </w:rPr>
        <w:t>The Euro eliminated exchange costs and exchange rate fluctuations.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10.</w:t>
      </w:r>
      <w:r w:rsidRPr="00C6640D">
        <w:rPr>
          <w:rFonts w:ascii="Arial" w:eastAsia="Times New Roman" w:hAnsi="Arial" w:cs="Times New Roman"/>
          <w:color w:val="333333"/>
          <w:sz w:val="24"/>
          <w:szCs w:val="24"/>
        </w:rPr>
        <w:t xml:space="preserve">   </w:t>
      </w:r>
      <w:r w:rsidRPr="00C6640D">
        <w:rPr>
          <w:rFonts w:ascii="Arial" w:eastAsia="Times New Roman" w:hAnsi="Arial" w:cs="Times New Roman"/>
          <w:color w:val="000000"/>
          <w:sz w:val="24"/>
          <w:szCs w:val="24"/>
        </w:rPr>
        <w:t>The foreign exchange market is like the New York Stock Exchange because they are both physical entities.</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proofErr w:type="gramStart"/>
      <w:r w:rsidRPr="00C6640D">
        <w:rPr>
          <w:rFonts w:ascii="Arial" w:eastAsia="Times New Roman" w:hAnsi="Arial" w:cs="Arial"/>
          <w:b/>
          <w:bCs/>
          <w:color w:val="333333"/>
          <w:sz w:val="24"/>
          <w:szCs w:val="24"/>
        </w:rPr>
        <w:t xml:space="preserve">MULTIPLE </w:t>
      </w:r>
      <w:r w:rsidR="00B479AF" w:rsidRPr="00C6640D">
        <w:rPr>
          <w:rFonts w:ascii="Arial" w:eastAsia="Times New Roman" w:hAnsi="Arial" w:cs="Arial"/>
          <w:b/>
          <w:bCs/>
          <w:color w:val="333333"/>
          <w:sz w:val="24"/>
          <w:szCs w:val="24"/>
        </w:rPr>
        <w:t>CHOICES</w:t>
      </w:r>
      <w:r w:rsidRPr="00C6640D">
        <w:rPr>
          <w:rFonts w:ascii="Arial" w:eastAsia="Times New Roman" w:hAnsi="Arial" w:cs="Arial"/>
          <w:b/>
          <w:bCs/>
          <w:color w:val="333333"/>
          <w:sz w:val="24"/>
          <w:szCs w:val="24"/>
        </w:rPr>
        <w:t>.</w:t>
      </w:r>
      <w:proofErr w:type="gramEnd"/>
      <w:r w:rsidRPr="00C6640D">
        <w:rPr>
          <w:rFonts w:ascii="Arial" w:eastAsia="Times New Roman" w:hAnsi="Arial" w:cs="Arial"/>
          <w:b/>
          <w:bCs/>
          <w:color w:val="333333"/>
          <w:sz w:val="24"/>
          <w:szCs w:val="24"/>
        </w:rPr>
        <w:t xml:space="preserve">  Choose the one alternative that best completes the statement or answers the question.  Please provide any back-up of your calculations on a separate worksheet so that credit can be assigned.  </w:t>
      </w:r>
      <w:r w:rsidRPr="00C6640D">
        <w:rPr>
          <w:rFonts w:ascii="Times New Roman" w:eastAsia="Times New Roman" w:hAnsi="Times New Roman" w:cs="Times New Roman"/>
          <w:color w:val="000000"/>
          <w:sz w:val="24"/>
          <w:szCs w:val="24"/>
        </w:rPr>
        <w:t> </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11. Which of the following measure an organization’s liquidity?</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a.</w:t>
      </w:r>
      <w:r w:rsidRPr="00C6640D">
        <w:rPr>
          <w:rFonts w:ascii="Arial" w:eastAsia="Times New Roman" w:hAnsi="Arial" w:cs="Times New Roman"/>
          <w:color w:val="000000"/>
          <w:sz w:val="24"/>
          <w:szCs w:val="24"/>
        </w:rPr>
        <w:tab/>
        <w:t>Acid test ratio</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b</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debt to equity ratio</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c</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return on equity</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d</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r>
      <w:proofErr w:type="spellStart"/>
      <w:r w:rsidRPr="00C6640D">
        <w:rPr>
          <w:rFonts w:ascii="Arial" w:eastAsia="Times New Roman" w:hAnsi="Arial" w:cs="Times New Roman"/>
          <w:color w:val="000000"/>
          <w:sz w:val="24"/>
          <w:szCs w:val="24"/>
        </w:rPr>
        <w:t>Dupont</w:t>
      </w:r>
      <w:proofErr w:type="spellEnd"/>
      <w:r w:rsidRPr="00C6640D">
        <w:rPr>
          <w:rFonts w:ascii="Arial" w:eastAsia="Times New Roman" w:hAnsi="Arial" w:cs="Times New Roman"/>
          <w:color w:val="000000"/>
          <w:sz w:val="24"/>
          <w:szCs w:val="24"/>
        </w:rPr>
        <w:t xml:space="preserve"> Analysis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 xml:space="preserve">12. If I invest $1000 at an interest rate of 2% what would the future value be after 5 </w:t>
      </w:r>
      <w:r w:rsidRPr="00C6640D">
        <w:rPr>
          <w:rFonts w:ascii="Arial" w:eastAsia="Times New Roman" w:hAnsi="Arial" w:cs="Arial"/>
          <w:color w:val="333333"/>
          <w:sz w:val="24"/>
          <w:szCs w:val="24"/>
        </w:rPr>
        <w:lastRenderedPageBreak/>
        <w:t>years?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a.</w:t>
      </w:r>
      <w:r w:rsidRPr="00C6640D">
        <w:rPr>
          <w:rFonts w:ascii="Arial" w:eastAsia="Times New Roman" w:hAnsi="Arial" w:cs="Times New Roman"/>
          <w:color w:val="000000"/>
          <w:sz w:val="24"/>
          <w:szCs w:val="24"/>
        </w:rPr>
        <w:tab/>
        <w:t>2500</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b.</w:t>
      </w:r>
      <w:r w:rsidRPr="00C6640D">
        <w:rPr>
          <w:rFonts w:ascii="Arial" w:eastAsia="Times New Roman" w:hAnsi="Arial" w:cs="Times New Roman"/>
          <w:color w:val="000000"/>
          <w:sz w:val="24"/>
          <w:szCs w:val="24"/>
        </w:rPr>
        <w:tab/>
        <w:t>1104</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c.</w:t>
      </w:r>
      <w:r w:rsidRPr="00C6640D">
        <w:rPr>
          <w:rFonts w:ascii="Arial" w:eastAsia="Times New Roman" w:hAnsi="Arial" w:cs="Times New Roman"/>
          <w:color w:val="000000"/>
          <w:sz w:val="24"/>
          <w:szCs w:val="24"/>
        </w:rPr>
        <w:tab/>
        <w:t>2134</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 xml:space="preserve">              d.      1500              </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13. Burns Promotions Plus has an annuity that pays $2500 at the beginning of the next 4 years what is the future value of the annuity if the interest rate is 5%?</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a</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$13,814</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b</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$15,638</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c</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$28,780</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d</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$30,149</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14. Grover’s Vinyl Siding has a $2000 loan that needs to be repaid in 3 equal installments at the end of the next three years with an interest rate of 6%; what would the requested payment be?</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a</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$2,000</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b</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$2,744</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c</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$2,244</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d</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$2,898</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15. Plexus Pictures collects 70% of its sales during the month of sales, 20% one month after the sales and 10% two months after the sale. The company expects sales of $15,000 in August; $25,000 in September; $10,000 in October; and $50,000 in November How much money will they collect in October?</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a</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$13,500</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b</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$15,500</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c</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$17,500</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d</w:t>
      </w:r>
      <w:proofErr w:type="gramEnd"/>
      <w:r w:rsidRPr="00C6640D">
        <w:rPr>
          <w:rFonts w:ascii="Arial" w:eastAsia="Times New Roman" w:hAnsi="Arial" w:cs="Times New Roman"/>
          <w:color w:val="000000"/>
          <w:sz w:val="24"/>
          <w:szCs w:val="24"/>
        </w:rPr>
        <w:t>.</w:t>
      </w:r>
      <w:r w:rsidRPr="00C6640D">
        <w:rPr>
          <w:rFonts w:ascii="Arial" w:eastAsia="Times New Roman" w:hAnsi="Arial" w:cs="Times New Roman"/>
          <w:color w:val="000000"/>
          <w:sz w:val="24"/>
          <w:szCs w:val="24"/>
        </w:rPr>
        <w:tab/>
        <w:t>$25,500</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lastRenderedPageBreak/>
        <w:t xml:space="preserve">16. The significance of a ratio can only be truly appreciated </w:t>
      </w:r>
      <w:proofErr w:type="gramStart"/>
      <w:r w:rsidRPr="00C6640D">
        <w:rPr>
          <w:rFonts w:ascii="Arial" w:eastAsia="Times New Roman" w:hAnsi="Arial" w:cs="Arial"/>
          <w:color w:val="333333"/>
          <w:sz w:val="24"/>
          <w:szCs w:val="24"/>
        </w:rPr>
        <w:t>Except</w:t>
      </w:r>
      <w:proofErr w:type="gramEnd"/>
      <w:r w:rsidRPr="00C6640D">
        <w:rPr>
          <w:rFonts w:ascii="Arial" w:eastAsia="Times New Roman" w:hAnsi="Arial" w:cs="Arial"/>
          <w:color w:val="333333"/>
          <w:sz w:val="24"/>
          <w:szCs w:val="24"/>
        </w:rPr>
        <w:t xml:space="preserve"> when:</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a. It is compared with other ratios in the same set of financial statements.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b. It is compared with the same ratio in previous financial statements (trend analysis).</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c. It is compared with a standard of performance (industry average)</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d. It is compared with other ratios in different sets of financial statement.</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17. Which is not a type of ratio?</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a. Liquidity</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b. Inventory Valuation</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c. Profitability</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d. Leverage</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18. Burns Promotions Plus has a cost of revenue of $219,793 million for the fiscal year ended January 31, 2008.  It had an inventory balance of $29,447 million at the end of this fiscal year.  Based on this information what is the number of days inventory for the year 2007 (ending January 31, 2008).</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proofErr w:type="gramStart"/>
      <w:r w:rsidRPr="00C6640D">
        <w:rPr>
          <w:rFonts w:ascii="Arial" w:eastAsia="Times New Roman" w:hAnsi="Arial" w:cs="Arial"/>
          <w:color w:val="333333"/>
          <w:sz w:val="24"/>
          <w:szCs w:val="24"/>
        </w:rPr>
        <w:t>a</w:t>
      </w:r>
      <w:proofErr w:type="gramEnd"/>
      <w:r w:rsidRPr="00C6640D">
        <w:rPr>
          <w:rFonts w:ascii="Arial" w:eastAsia="Times New Roman" w:hAnsi="Arial" w:cs="Arial"/>
          <w:color w:val="333333"/>
          <w:sz w:val="24"/>
          <w:szCs w:val="24"/>
        </w:rPr>
        <w:t>. 23.3 days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proofErr w:type="gramStart"/>
      <w:r w:rsidRPr="00C6640D">
        <w:rPr>
          <w:rFonts w:ascii="Arial" w:eastAsia="Times New Roman" w:hAnsi="Arial" w:cs="Arial"/>
          <w:color w:val="333333"/>
          <w:sz w:val="24"/>
          <w:szCs w:val="24"/>
        </w:rPr>
        <w:t>b</w:t>
      </w:r>
      <w:proofErr w:type="gramEnd"/>
      <w:r w:rsidRPr="00C6640D">
        <w:rPr>
          <w:rFonts w:ascii="Arial" w:eastAsia="Times New Roman" w:hAnsi="Arial" w:cs="Arial"/>
          <w:color w:val="333333"/>
          <w:sz w:val="24"/>
          <w:szCs w:val="24"/>
        </w:rPr>
        <w:t>. 35.9 days</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proofErr w:type="gramStart"/>
      <w:r w:rsidRPr="00C6640D">
        <w:rPr>
          <w:rFonts w:ascii="Arial" w:eastAsia="Times New Roman" w:hAnsi="Arial" w:cs="Arial"/>
          <w:color w:val="333333"/>
          <w:sz w:val="24"/>
          <w:szCs w:val="24"/>
        </w:rPr>
        <w:t>c</w:t>
      </w:r>
      <w:proofErr w:type="gramEnd"/>
      <w:r w:rsidRPr="00C6640D">
        <w:rPr>
          <w:rFonts w:ascii="Arial" w:eastAsia="Times New Roman" w:hAnsi="Arial" w:cs="Arial"/>
          <w:color w:val="333333"/>
          <w:sz w:val="24"/>
          <w:szCs w:val="24"/>
        </w:rPr>
        <w:t>. 42.3 days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r>
      <w:proofErr w:type="gramStart"/>
      <w:r w:rsidRPr="00C6640D">
        <w:rPr>
          <w:rFonts w:ascii="Arial" w:eastAsia="Times New Roman" w:hAnsi="Arial" w:cs="Times New Roman"/>
          <w:color w:val="000000"/>
          <w:sz w:val="24"/>
          <w:szCs w:val="24"/>
        </w:rPr>
        <w:t>d</w:t>
      </w:r>
      <w:proofErr w:type="gramEnd"/>
      <w:r w:rsidRPr="00C6640D">
        <w:rPr>
          <w:rFonts w:ascii="Arial" w:eastAsia="Times New Roman" w:hAnsi="Arial" w:cs="Times New Roman"/>
          <w:color w:val="000000"/>
          <w:sz w:val="24"/>
          <w:szCs w:val="24"/>
        </w:rPr>
        <w:t>. 48.9 days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18. Burns Promotions Plus has a cost of revenue of $219,793 million for the fiscal year ended January 31, 2008.  It had an inventory balance of $29,447 million at the end of this fiscal year.  Based on this information what is the inventory turnover for the year 2007 (ending January 31, 2008).</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a. 3.23 times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b. 4.56 times</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lastRenderedPageBreak/>
        <w:t>c. 7.46 times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d. 8.75 times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19. What is working capital?</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a. An indicator whether the company will be able to meet its current obligations.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b. Tells you the relationship of current assets to current liabilities.</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proofErr w:type="gramStart"/>
      <w:r w:rsidRPr="00C6640D">
        <w:rPr>
          <w:rFonts w:ascii="Arial" w:eastAsia="Times New Roman" w:hAnsi="Arial" w:cs="Arial"/>
          <w:color w:val="333333"/>
          <w:sz w:val="24"/>
          <w:szCs w:val="24"/>
        </w:rPr>
        <w:t>c</w:t>
      </w:r>
      <w:proofErr w:type="gramEnd"/>
      <w:r w:rsidRPr="00C6640D">
        <w:rPr>
          <w:rFonts w:ascii="Arial" w:eastAsia="Times New Roman" w:hAnsi="Arial" w:cs="Arial"/>
          <w:color w:val="333333"/>
          <w:sz w:val="24"/>
          <w:szCs w:val="24"/>
        </w:rPr>
        <w:t>. Indicates the relationship between amounts of assets that can be quickly be turned into cash versus the amount of current liability.</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d. It measures the return to the owners.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 </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20. Euro was introduced because of the following EXCEPT?</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a. It made it easier for goods, people, and services to travel across national borders.</w:t>
      </w:r>
    </w:p>
    <w:p w:rsidR="00C6640D" w:rsidRPr="00C6640D" w:rsidRDefault="00C6640D" w:rsidP="00C6640D">
      <w:pPr>
        <w:widowControl w:val="0"/>
        <w:shd w:val="clear" w:color="auto" w:fill="FFFFFF"/>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b. It helped to eliminate cost differences for goods in different countries.</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Arial" w:eastAsia="Times New Roman" w:hAnsi="Arial" w:cs="Arial"/>
          <w:color w:val="333333"/>
          <w:sz w:val="24"/>
          <w:szCs w:val="24"/>
        </w:rPr>
        <w:t>c. It made it easier to compare prices and eliminate discrepancies.</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Arial" w:eastAsia="Times New Roman" w:hAnsi="Arial" w:cs="Times New Roman"/>
          <w:color w:val="000000"/>
          <w:sz w:val="24"/>
          <w:szCs w:val="24"/>
        </w:rPr>
        <w:tab/>
        <w:t>d. The value of the Euro remains constant.</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proofErr w:type="gramStart"/>
      <w:r w:rsidRPr="00C6640D">
        <w:rPr>
          <w:rFonts w:ascii="Arial" w:eastAsia="Times New Roman" w:hAnsi="Arial" w:cs="Arial"/>
          <w:b/>
          <w:bCs/>
          <w:color w:val="333333"/>
          <w:sz w:val="24"/>
          <w:szCs w:val="24"/>
        </w:rPr>
        <w:t>PROBLEMS.</w:t>
      </w:r>
      <w:proofErr w:type="gramEnd"/>
      <w:r w:rsidRPr="00C6640D">
        <w:rPr>
          <w:rFonts w:ascii="Arial" w:eastAsia="Times New Roman" w:hAnsi="Arial" w:cs="Arial"/>
          <w:b/>
          <w:bCs/>
          <w:color w:val="333333"/>
          <w:sz w:val="24"/>
          <w:szCs w:val="24"/>
        </w:rPr>
        <w:t xml:space="preserve">  Provide back-up of your work on a separate worksheet so that credit can be assigned. You may provide either a Word document or an Excel spreadsheet.</w:t>
      </w:r>
    </w:p>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b/>
          <w:color w:val="000000"/>
          <w:sz w:val="24"/>
          <w:szCs w:val="24"/>
        </w:rPr>
        <w:t> </w:t>
      </w:r>
    </w:p>
    <w:tbl>
      <w:tblPr>
        <w:tblW w:w="8440" w:type="dxa"/>
        <w:tblInd w:w="93" w:type="dxa"/>
        <w:tblLook w:val="04A0"/>
      </w:tblPr>
      <w:tblGrid>
        <w:gridCol w:w="3840"/>
        <w:gridCol w:w="640"/>
        <w:gridCol w:w="580"/>
        <w:gridCol w:w="2420"/>
        <w:gridCol w:w="960"/>
      </w:tblGrid>
      <w:tr w:rsidR="00C6640D" w:rsidRPr="00C6640D" w:rsidTr="00C6640D">
        <w:trPr>
          <w:trHeight w:val="255"/>
        </w:trPr>
        <w:tc>
          <w:tcPr>
            <w:tcW w:w="3840" w:type="dxa"/>
            <w:tcBorders>
              <w:top w:val="nil"/>
              <w:left w:val="nil"/>
              <w:bottom w:val="nil"/>
              <w:right w:val="nil"/>
            </w:tcBorders>
            <w:shd w:val="clear" w:color="auto" w:fill="C0C0C0"/>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b/>
                <w:bCs/>
                <w:color w:val="000000"/>
                <w:sz w:val="20"/>
                <w:szCs w:val="20"/>
              </w:rPr>
              <w:t xml:space="preserve">Amy's Widgets Balance Sheet </w:t>
            </w:r>
          </w:p>
        </w:tc>
        <w:tc>
          <w:tcPr>
            <w:tcW w:w="640" w:type="dxa"/>
            <w:tcBorders>
              <w:top w:val="nil"/>
              <w:left w:val="nil"/>
              <w:bottom w:val="nil"/>
              <w:right w:val="nil"/>
            </w:tcBorders>
            <w:shd w:val="clear" w:color="auto" w:fill="C0C0C0"/>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b/>
                <w:bCs/>
                <w:color w:val="000000"/>
                <w:sz w:val="20"/>
                <w:szCs w:val="20"/>
              </w:rPr>
              <w:t> </w:t>
            </w:r>
          </w:p>
        </w:tc>
        <w:tc>
          <w:tcPr>
            <w:tcW w:w="580" w:type="dxa"/>
            <w:tcBorders>
              <w:top w:val="nil"/>
              <w:left w:val="nil"/>
              <w:bottom w:val="nil"/>
              <w:right w:val="nil"/>
            </w:tcBorders>
            <w:shd w:val="clear" w:color="auto" w:fill="C0C0C0"/>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b/>
                <w:bCs/>
                <w:color w:val="000000"/>
                <w:sz w:val="20"/>
                <w:szCs w:val="20"/>
              </w:rPr>
              <w:t> </w:t>
            </w:r>
          </w:p>
        </w:tc>
        <w:tc>
          <w:tcPr>
            <w:tcW w:w="2420" w:type="dxa"/>
            <w:tcBorders>
              <w:top w:val="nil"/>
              <w:left w:val="nil"/>
              <w:bottom w:val="nil"/>
              <w:right w:val="nil"/>
            </w:tcBorders>
            <w:shd w:val="clear" w:color="auto" w:fill="C0C0C0"/>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b/>
                <w:bCs/>
                <w:color w:val="000000"/>
                <w:sz w:val="20"/>
                <w:szCs w:val="20"/>
              </w:rPr>
              <w:t> </w:t>
            </w:r>
          </w:p>
        </w:tc>
        <w:tc>
          <w:tcPr>
            <w:tcW w:w="960" w:type="dxa"/>
            <w:tcBorders>
              <w:top w:val="nil"/>
              <w:left w:val="nil"/>
              <w:bottom w:val="nil"/>
              <w:right w:val="nil"/>
            </w:tcBorders>
            <w:shd w:val="clear" w:color="auto" w:fill="C0C0C0"/>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b/>
                <w:bCs/>
                <w:color w:val="000000"/>
                <w:sz w:val="20"/>
                <w:szCs w:val="20"/>
              </w:rPr>
              <w:t> </w:t>
            </w:r>
          </w:p>
        </w:tc>
      </w:tr>
    </w:tbl>
    <w:p w:rsidR="00C6640D" w:rsidRPr="00C6640D" w:rsidRDefault="00C6640D" w:rsidP="00C6640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tbl>
      <w:tblPr>
        <w:tblW w:w="10271" w:type="dxa"/>
        <w:tblInd w:w="93" w:type="dxa"/>
        <w:tblLook w:val="04A0"/>
      </w:tblPr>
      <w:tblGrid>
        <w:gridCol w:w="987"/>
        <w:gridCol w:w="124"/>
        <w:gridCol w:w="915"/>
        <w:gridCol w:w="124"/>
        <w:gridCol w:w="150"/>
        <w:gridCol w:w="2082"/>
        <w:gridCol w:w="1128"/>
        <w:gridCol w:w="124"/>
        <w:gridCol w:w="535"/>
        <w:gridCol w:w="660"/>
        <w:gridCol w:w="2420"/>
        <w:gridCol w:w="1128"/>
      </w:tblGrid>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ASSETS</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318"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LIABILITIES</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2045"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Current Assets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738"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Current Liabilities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Cash</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2,100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Notes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5,000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Petty Cash</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Accounts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35,900 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Temporary Investments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10,000 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Wages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8,500 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Accounts Receivable - net</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40,500 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Interest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2,900 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Inventory</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31,000 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Taxes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6,100 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Supplies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3,800 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Warranty Liability</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1,100 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lastRenderedPageBreak/>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Prepaid Insurance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1,500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Unearned Revenues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1,500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Current Assets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89,000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Current Liabilities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61,000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2045"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Investments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36,000 </w:t>
            </w:r>
          </w:p>
        </w:tc>
        <w:tc>
          <w:tcPr>
            <w:tcW w:w="3738"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Long-term Liabilities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Notes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20,000 </w:t>
            </w:r>
          </w:p>
        </w:tc>
      </w:tr>
      <w:tr w:rsidR="00C6640D" w:rsidRPr="00C6640D" w:rsidTr="00C6640D">
        <w:trPr>
          <w:trHeight w:val="255"/>
        </w:trPr>
        <w:tc>
          <w:tcPr>
            <w:tcW w:w="4277" w:type="dxa"/>
            <w:gridSpan w:val="6"/>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Property, Plant &amp; Equipment</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Bonds Payable</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400,000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Land</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5,500 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Long-term Liabilities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420,000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Land Improvements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6,500 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Buildings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180,000 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Equipment</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201,000 </w:t>
            </w:r>
          </w:p>
        </w:tc>
        <w:tc>
          <w:tcPr>
            <w:tcW w:w="3738"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Liabilities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481,000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Less: </w:t>
            </w:r>
            <w:proofErr w:type="spellStart"/>
            <w:r w:rsidRPr="00C6640D">
              <w:rPr>
                <w:rFonts w:ascii="Arial" w:eastAsia="Times New Roman" w:hAnsi="Arial" w:cs="Arial"/>
                <w:color w:val="000000"/>
                <w:sz w:val="20"/>
                <w:szCs w:val="20"/>
              </w:rPr>
              <w:t>Accum</w:t>
            </w:r>
            <w:proofErr w:type="spellEnd"/>
            <w:r w:rsidRPr="00C6640D">
              <w:rPr>
                <w:rFonts w:ascii="Arial" w:eastAsia="Times New Roman" w:hAnsi="Arial" w:cs="Arial"/>
                <w:color w:val="000000"/>
                <w:sz w:val="20"/>
                <w:szCs w:val="20"/>
              </w:rPr>
              <w:t xml:space="preserve"> Depreciation</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(56,000)</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Prop, Plant &amp; Equip - net</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337,000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2045"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Intangible Assets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738"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STOCKHOLDERS' EQUITY</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Goodwill</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105,000 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Common Stock</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110,000 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1"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Trade Names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200,000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Retained Earnings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229,000 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Intangible Assets</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305,000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07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Less: Treasury Stock</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(50,000)</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Stockholders' Equity</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289,000 </w:t>
            </w:r>
          </w:p>
        </w:tc>
      </w:tr>
      <w:tr w:rsidR="00C6640D" w:rsidRPr="00C6640D" w:rsidTr="00C6640D">
        <w:trPr>
          <w:trHeight w:val="255"/>
        </w:trPr>
        <w:tc>
          <w:tcPr>
            <w:tcW w:w="2045"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Other Assets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3,000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1006"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w:t>
            </w:r>
          </w:p>
        </w:tc>
        <w:tc>
          <w:tcPr>
            <w:tcW w:w="103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659"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420"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trHeight w:val="255"/>
        </w:trPr>
        <w:tc>
          <w:tcPr>
            <w:tcW w:w="2045"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Assets</w:t>
            </w:r>
          </w:p>
        </w:tc>
        <w:tc>
          <w:tcPr>
            <w:tcW w:w="223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$770,000 </w:t>
            </w:r>
          </w:p>
        </w:tc>
        <w:tc>
          <w:tcPr>
            <w:tcW w:w="3738" w:type="dxa"/>
            <w:gridSpan w:val="4"/>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Total Liabilities &amp; Stockholders' Equity</w:t>
            </w:r>
          </w:p>
        </w:tc>
        <w:tc>
          <w:tcPr>
            <w:tcW w:w="1128"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$770,000 </w:t>
            </w:r>
          </w:p>
        </w:tc>
      </w:tr>
      <w:tr w:rsidR="00C6640D" w:rsidRPr="00C6640D" w:rsidTr="00C6640D">
        <w:trPr>
          <w:gridAfter w:val="4"/>
          <w:wAfter w:w="4822" w:type="dxa"/>
          <w:trHeight w:val="255"/>
        </w:trPr>
        <w:tc>
          <w:tcPr>
            <w:tcW w:w="5449" w:type="dxa"/>
            <w:gridSpan w:val="8"/>
            <w:tcBorders>
              <w:top w:val="nil"/>
              <w:left w:val="nil"/>
              <w:bottom w:val="nil"/>
              <w:right w:val="nil"/>
            </w:tcBorders>
            <w:shd w:val="clear" w:color="auto" w:fill="C0C0C0"/>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b/>
                <w:bCs/>
                <w:color w:val="000000"/>
                <w:sz w:val="20"/>
                <w:szCs w:val="20"/>
              </w:rPr>
              <w:t>Income Statement 2008 For Amy's Widgets</w:t>
            </w:r>
          </w:p>
        </w:tc>
      </w:tr>
      <w:tr w:rsidR="00C6640D" w:rsidRPr="00C6640D" w:rsidTr="00C6640D">
        <w:trPr>
          <w:gridAfter w:val="4"/>
          <w:wAfter w:w="4822" w:type="dxa"/>
          <w:trHeight w:val="255"/>
        </w:trPr>
        <w:tc>
          <w:tcPr>
            <w:tcW w:w="987"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987"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Sales (all on Credit)</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$500,000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  Cost of </w:t>
            </w:r>
            <w:proofErr w:type="spellStart"/>
            <w:r w:rsidRPr="00C6640D">
              <w:rPr>
                <w:rFonts w:ascii="Arial" w:eastAsia="Times New Roman" w:hAnsi="Arial" w:cs="Arial"/>
                <w:color w:val="000000"/>
                <w:sz w:val="20"/>
                <w:szCs w:val="20"/>
              </w:rPr>
              <w:t>Good</w:t>
            </w:r>
            <w:proofErr w:type="spellEnd"/>
            <w:r w:rsidRPr="00C6640D">
              <w:rPr>
                <w:rFonts w:ascii="Arial" w:eastAsia="Times New Roman" w:hAnsi="Arial" w:cs="Arial"/>
                <w:color w:val="000000"/>
                <w:sz w:val="20"/>
                <w:szCs w:val="20"/>
              </w:rPr>
              <w:t xml:space="preserve"> Sold</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single" w:sz="4" w:space="0" w:color="auto"/>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$380,000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     Gross Profit</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single" w:sz="4" w:space="0" w:color="auto"/>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$120,000 </w:t>
            </w:r>
          </w:p>
        </w:tc>
      </w:tr>
      <w:tr w:rsidR="00C6640D" w:rsidRPr="00C6640D" w:rsidTr="00C6640D">
        <w:trPr>
          <w:gridAfter w:val="4"/>
          <w:wAfter w:w="4822" w:type="dxa"/>
          <w:trHeight w:val="255"/>
        </w:trPr>
        <w:tc>
          <w:tcPr>
            <w:tcW w:w="987"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987"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Operating Expenses</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gridAfter w:val="4"/>
          <w:wAfter w:w="4822" w:type="dxa"/>
          <w:trHeight w:val="255"/>
        </w:trPr>
        <w:tc>
          <w:tcPr>
            <w:tcW w:w="2176" w:type="dxa"/>
            <w:gridSpan w:val="5"/>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  Selling/Admin expense</w:t>
            </w:r>
          </w:p>
        </w:tc>
        <w:tc>
          <w:tcPr>
            <w:tcW w:w="3273" w:type="dxa"/>
            <w:gridSpan w:val="3"/>
            <w:tcBorders>
              <w:top w:val="nil"/>
              <w:left w:val="nil"/>
              <w:bottom w:val="single" w:sz="4" w:space="0" w:color="auto"/>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$80,000 </w:t>
            </w:r>
          </w:p>
        </w:tc>
      </w:tr>
      <w:tr w:rsidR="00C6640D" w:rsidRPr="00C6640D" w:rsidTr="00C6640D">
        <w:trPr>
          <w:gridAfter w:val="4"/>
          <w:wAfter w:w="4822" w:type="dxa"/>
          <w:trHeight w:val="255"/>
        </w:trPr>
        <w:tc>
          <w:tcPr>
            <w:tcW w:w="987"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987"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Operating Income</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$40,000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Interest Expense</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single" w:sz="4" w:space="0" w:color="auto"/>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$12,000</w:t>
            </w:r>
          </w:p>
        </w:tc>
      </w:tr>
      <w:tr w:rsidR="00C6640D" w:rsidRPr="00C6640D" w:rsidTr="00C6640D">
        <w:trPr>
          <w:gridAfter w:val="4"/>
          <w:wAfter w:w="4822" w:type="dxa"/>
          <w:trHeight w:val="255"/>
        </w:trPr>
        <w:tc>
          <w:tcPr>
            <w:tcW w:w="987"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987"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Income before taxes</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$28,000 </w:t>
            </w:r>
          </w:p>
        </w:tc>
      </w:tr>
      <w:tr w:rsidR="00C6640D" w:rsidRPr="00C6640D" w:rsidTr="00C6640D">
        <w:trPr>
          <w:gridAfter w:val="4"/>
          <w:wAfter w:w="4822" w:type="dxa"/>
          <w:trHeight w:val="255"/>
        </w:trPr>
        <w:tc>
          <w:tcPr>
            <w:tcW w:w="1974"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Income Tax Expense</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$5,000 </w:t>
            </w:r>
          </w:p>
        </w:tc>
      </w:tr>
      <w:tr w:rsidR="00C6640D" w:rsidRPr="00C6640D" w:rsidTr="00C6640D">
        <w:trPr>
          <w:gridAfter w:val="4"/>
          <w:wAfter w:w="4822" w:type="dxa"/>
          <w:trHeight w:val="255"/>
        </w:trPr>
        <w:tc>
          <w:tcPr>
            <w:tcW w:w="987" w:type="dxa"/>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987"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202" w:type="dxa"/>
            <w:gridSpan w:val="2"/>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c>
          <w:tcPr>
            <w:tcW w:w="3273" w:type="dxa"/>
            <w:gridSpan w:val="3"/>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w:t>
            </w:r>
          </w:p>
        </w:tc>
      </w:tr>
      <w:tr w:rsidR="00C6640D" w:rsidRPr="00C6640D" w:rsidTr="00C6640D">
        <w:trPr>
          <w:gridAfter w:val="4"/>
          <w:wAfter w:w="4822" w:type="dxa"/>
          <w:trHeight w:val="270"/>
        </w:trPr>
        <w:tc>
          <w:tcPr>
            <w:tcW w:w="2176" w:type="dxa"/>
            <w:gridSpan w:val="5"/>
            <w:tcBorders>
              <w:top w:val="nil"/>
              <w:left w:val="nil"/>
              <w:bottom w:val="nil"/>
              <w:right w:val="nil"/>
            </w:tcBorders>
            <w:shd w:val="clear" w:color="auto" w:fill="auto"/>
            <w:noWrap/>
            <w:vAlign w:val="bottom"/>
            <w:hideMark/>
          </w:tcPr>
          <w:p w:rsidR="00C6640D" w:rsidRPr="00C6640D" w:rsidRDefault="00C6640D" w:rsidP="00C6640D">
            <w:pPr>
              <w:spacing w:before="100" w:beforeAutospacing="1" w:after="100" w:afterAutospacing="1" w:line="240" w:lineRule="atLeas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Net Income after Taxes</w:t>
            </w:r>
          </w:p>
        </w:tc>
        <w:tc>
          <w:tcPr>
            <w:tcW w:w="3273" w:type="dxa"/>
            <w:gridSpan w:val="3"/>
            <w:tcBorders>
              <w:top w:val="nil"/>
              <w:left w:val="nil"/>
              <w:bottom w:val="double" w:sz="6" w:space="0" w:color="auto"/>
              <w:right w:val="nil"/>
            </w:tcBorders>
            <w:shd w:val="clear" w:color="auto" w:fill="auto"/>
            <w:noWrap/>
            <w:vAlign w:val="bottom"/>
            <w:hideMark/>
          </w:tcPr>
          <w:p w:rsidR="00C6640D" w:rsidRPr="00C6640D" w:rsidRDefault="00C6640D" w:rsidP="00C6640D">
            <w:pPr>
              <w:spacing w:before="100" w:beforeAutospacing="1" w:after="100" w:afterAutospacing="1" w:line="240" w:lineRule="atLeast"/>
              <w:jc w:val="right"/>
              <w:rPr>
                <w:rFonts w:ascii="Times New Roman" w:eastAsia="Times New Roman" w:hAnsi="Times New Roman" w:cs="Times New Roman"/>
                <w:color w:val="000000"/>
                <w:sz w:val="18"/>
                <w:szCs w:val="18"/>
              </w:rPr>
            </w:pPr>
            <w:r w:rsidRPr="00C6640D">
              <w:rPr>
                <w:rFonts w:ascii="Arial" w:eastAsia="Times New Roman" w:hAnsi="Arial" w:cs="Arial"/>
                <w:color w:val="000000"/>
                <w:sz w:val="20"/>
                <w:szCs w:val="20"/>
              </w:rPr>
              <w:t xml:space="preserve">$23,000 </w:t>
            </w:r>
          </w:p>
        </w:tc>
      </w:tr>
      <w:tr w:rsidR="00C6640D" w:rsidRPr="00C6640D" w:rsidTr="00C6640D">
        <w:tc>
          <w:tcPr>
            <w:tcW w:w="990"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1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97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90"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150"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2100"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112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4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61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660"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241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c>
          <w:tcPr>
            <w:tcW w:w="1125" w:type="dxa"/>
            <w:tcBorders>
              <w:top w:val="nil"/>
              <w:left w:val="nil"/>
              <w:bottom w:val="nil"/>
              <w:right w:val="nil"/>
            </w:tcBorders>
            <w:shd w:val="clear" w:color="auto" w:fill="auto"/>
            <w:tcMar>
              <w:top w:w="30" w:type="dxa"/>
              <w:left w:w="30" w:type="dxa"/>
              <w:bottom w:w="30" w:type="dxa"/>
              <w:right w:w="30" w:type="dxa"/>
            </w:tcMar>
            <w:vAlign w:val="center"/>
            <w:hideMark/>
          </w:tcPr>
          <w:p w:rsidR="00C6640D" w:rsidRPr="00C6640D" w:rsidRDefault="00C6640D" w:rsidP="00C6640D">
            <w:pPr>
              <w:spacing w:beforeAutospacing="1" w:after="0" w:afterAutospacing="1"/>
              <w:rPr>
                <w:rFonts w:ascii="Verdana" w:eastAsia="Times New Roman" w:hAnsi="Verdana" w:cs="Times New Roman"/>
                <w:sz w:val="18"/>
                <w:szCs w:val="18"/>
              </w:rPr>
            </w:pPr>
            <w:r w:rsidRPr="00C6640D">
              <w:rPr>
                <w:rFonts w:ascii="Verdana" w:eastAsia="Times New Roman" w:hAnsi="Verdana" w:cs="Times New Roman"/>
                <w:sz w:val="18"/>
                <w:szCs w:val="18"/>
              </w:rPr>
              <w:t> </w:t>
            </w:r>
          </w:p>
        </w:tc>
      </w:tr>
    </w:tbl>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936"/>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num" w:pos="42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42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21.</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Based on the above information:</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lastRenderedPageBreak/>
        <w:t>a.</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Working Capital</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b.</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Current Ratio</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c.</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Acid Test Ratio</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d.</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Average Collection Period</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e.</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Accounts Receivable Turnover</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f.</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Inventory Turnover</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num" w:pos="42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42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22.</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Based on the above information:</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a.</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the Gross Margin</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b.</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Profit Margin</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c.</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Return on the Stockholder’s Equity</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d.</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Debt Ratio</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e.</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Times Interest Earned</w:t>
      </w:r>
    </w:p>
    <w:p w:rsidR="00C6640D" w:rsidRPr="00C6640D" w:rsidRDefault="00C6640D" w:rsidP="00C6640D">
      <w:pPr>
        <w:widowControl w:val="0"/>
        <w:shd w:val="clear" w:color="auto" w:fill="FFFFFF"/>
        <w:tabs>
          <w:tab w:val="num" w:pos="360"/>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ind w:hanging="360"/>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f.</w:t>
      </w:r>
      <w:r w:rsidRPr="00C6640D">
        <w:rPr>
          <w:rFonts w:ascii="Times New Roman" w:eastAsia="Times New Roman" w:hAnsi="Times New Roman" w:cs="Times New Roman"/>
          <w:color w:val="333333"/>
          <w:sz w:val="14"/>
          <w:szCs w:val="14"/>
        </w:rPr>
        <w:t xml:space="preserve">        </w:t>
      </w:r>
      <w:r w:rsidRPr="00C6640D">
        <w:rPr>
          <w:rFonts w:ascii="Times New Roman" w:eastAsia="Times New Roman" w:hAnsi="Times New Roman" w:cs="Times New Roman"/>
          <w:color w:val="333333"/>
          <w:sz w:val="24"/>
          <w:szCs w:val="24"/>
        </w:rPr>
        <w:t>Calculate Fixed Asset Turnover</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C6640D" w:rsidRPr="00C6640D" w:rsidRDefault="00C6640D" w:rsidP="00C6640D">
      <w:pPr>
        <w:widowControl w:val="0"/>
        <w:shd w:val="clear" w:color="auto" w:fill="FFFFFF"/>
        <w:tabs>
          <w:tab w:val="left" w:pos="576"/>
          <w:tab w:val="left" w:pos="936"/>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adjustRightInd w:val="0"/>
        <w:spacing w:before="100" w:beforeAutospacing="1" w:after="100" w:afterAutospacing="1" w:line="240" w:lineRule="atLeast"/>
        <w:rPr>
          <w:rFonts w:ascii="Times New Roman" w:eastAsia="Times New Roman" w:hAnsi="Times New Roman" w:cs="Times New Roman"/>
          <w:color w:val="000000"/>
          <w:sz w:val="27"/>
          <w:szCs w:val="27"/>
        </w:rPr>
      </w:pPr>
      <w:r w:rsidRPr="00C6640D">
        <w:rPr>
          <w:rFonts w:ascii="Times New Roman" w:eastAsia="Times New Roman" w:hAnsi="Times New Roman" w:cs="Times New Roman"/>
          <w:color w:val="333333"/>
          <w:sz w:val="24"/>
          <w:szCs w:val="24"/>
        </w:rPr>
        <w:t> </w:t>
      </w:r>
    </w:p>
    <w:p w:rsidR="001F06AF" w:rsidRDefault="00B479AF"/>
    <w:sectPr w:rsidR="001F06AF" w:rsidSect="00B40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40D"/>
    <w:rsid w:val="002A4470"/>
    <w:rsid w:val="0078049E"/>
    <w:rsid w:val="00A048C1"/>
    <w:rsid w:val="00B403C0"/>
    <w:rsid w:val="00B479AF"/>
    <w:rsid w:val="00C6640D"/>
    <w:rsid w:val="00F96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682807">
      <w:bodyDiv w:val="1"/>
      <w:marLeft w:val="0"/>
      <w:marRight w:val="0"/>
      <w:marTop w:val="0"/>
      <w:marBottom w:val="0"/>
      <w:divBdr>
        <w:top w:val="none" w:sz="0" w:space="0" w:color="auto"/>
        <w:left w:val="none" w:sz="0" w:space="0" w:color="auto"/>
        <w:bottom w:val="none" w:sz="0" w:space="0" w:color="auto"/>
        <w:right w:val="none" w:sz="0" w:space="0" w:color="auto"/>
      </w:divBdr>
      <w:divsChild>
        <w:div w:id="1519276469">
          <w:marLeft w:val="0"/>
          <w:marRight w:val="0"/>
          <w:marTop w:val="0"/>
          <w:marBottom w:val="0"/>
          <w:divBdr>
            <w:top w:val="none" w:sz="0" w:space="0" w:color="auto"/>
            <w:left w:val="none" w:sz="0" w:space="0" w:color="auto"/>
            <w:bottom w:val="none" w:sz="0" w:space="0" w:color="auto"/>
            <w:right w:val="none" w:sz="0" w:space="0" w:color="auto"/>
          </w:divBdr>
        </w:div>
      </w:divsChild>
    </w:div>
    <w:div w:id="1050885482">
      <w:bodyDiv w:val="1"/>
      <w:marLeft w:val="0"/>
      <w:marRight w:val="0"/>
      <w:marTop w:val="0"/>
      <w:marBottom w:val="0"/>
      <w:divBdr>
        <w:top w:val="none" w:sz="0" w:space="0" w:color="auto"/>
        <w:left w:val="none" w:sz="0" w:space="0" w:color="auto"/>
        <w:bottom w:val="none" w:sz="0" w:space="0" w:color="auto"/>
        <w:right w:val="none" w:sz="0" w:space="0" w:color="auto"/>
      </w:divBdr>
      <w:divsChild>
        <w:div w:id="15035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Palmer Family</dc:creator>
  <cp:lastModifiedBy>The Palmer Family</cp:lastModifiedBy>
  <cp:revision>1</cp:revision>
  <dcterms:created xsi:type="dcterms:W3CDTF">2009-05-23T15:35:00Z</dcterms:created>
  <dcterms:modified xsi:type="dcterms:W3CDTF">2009-05-23T15:50:00Z</dcterms:modified>
</cp:coreProperties>
</file>