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72" w:rsidRPr="00B61524" w:rsidRDefault="00067972" w:rsidP="00067972">
      <w:r w:rsidRPr="00B61524">
        <w:t>It has been suggested that treatment of a plastic used in optic lenses will improve wear.  Four different treatments are to be tested.  To determine whether any differences in mean wear exist among treatments, 28 castings were made from a single formulation of the plastic and seven castings were randomly assigned to each of the treatment groups.  “Wear” was determined by measuring the increase in “haze” after 200 cycles of abrasion (better wear is indicated by a small increase).</w:t>
      </w:r>
    </w:p>
    <w:tbl>
      <w:tblPr>
        <w:tblStyle w:val="TableGrid"/>
        <w:tblW w:w="0" w:type="auto"/>
        <w:tblInd w:w="1278" w:type="dxa"/>
        <w:tblLook w:val="01E0"/>
      </w:tblPr>
      <w:tblGrid>
        <w:gridCol w:w="1530"/>
        <w:gridCol w:w="1620"/>
        <w:gridCol w:w="1440"/>
        <w:gridCol w:w="1350"/>
      </w:tblGrid>
      <w:tr w:rsidR="00067972" w:rsidRPr="00C159E2" w:rsidTr="009C4E69">
        <w:tc>
          <w:tcPr>
            <w:tcW w:w="1530" w:type="dxa"/>
          </w:tcPr>
          <w:p w:rsidR="00067972" w:rsidRPr="00C159E2" w:rsidRDefault="00067972" w:rsidP="009C4E69">
            <w:pPr>
              <w:rPr>
                <w:sz w:val="16"/>
                <w:szCs w:val="16"/>
              </w:rPr>
            </w:pPr>
          </w:p>
        </w:tc>
        <w:tc>
          <w:tcPr>
            <w:tcW w:w="1620" w:type="dxa"/>
          </w:tcPr>
          <w:p w:rsidR="00067972" w:rsidRPr="00C159E2" w:rsidRDefault="00067972" w:rsidP="009C4E69">
            <w:pPr>
              <w:jc w:val="right"/>
              <w:rPr>
                <w:b/>
                <w:sz w:val="16"/>
                <w:szCs w:val="16"/>
              </w:rPr>
            </w:pPr>
            <w:r w:rsidRPr="00C159E2">
              <w:rPr>
                <w:b/>
                <w:sz w:val="16"/>
                <w:szCs w:val="16"/>
              </w:rPr>
              <w:t>Treatment</w:t>
            </w:r>
          </w:p>
        </w:tc>
        <w:tc>
          <w:tcPr>
            <w:tcW w:w="1440" w:type="dxa"/>
          </w:tcPr>
          <w:p w:rsidR="00067972" w:rsidRPr="00C159E2" w:rsidRDefault="00067972" w:rsidP="009C4E69">
            <w:pPr>
              <w:rPr>
                <w:sz w:val="16"/>
                <w:szCs w:val="16"/>
              </w:rPr>
            </w:pPr>
          </w:p>
        </w:tc>
        <w:tc>
          <w:tcPr>
            <w:tcW w:w="1350" w:type="dxa"/>
          </w:tcPr>
          <w:p w:rsidR="00067972" w:rsidRPr="00C159E2" w:rsidRDefault="00067972" w:rsidP="009C4E69">
            <w:pPr>
              <w:rPr>
                <w:sz w:val="16"/>
                <w:szCs w:val="16"/>
              </w:rPr>
            </w:pPr>
          </w:p>
        </w:tc>
      </w:tr>
      <w:tr w:rsidR="00067972" w:rsidRPr="00C159E2" w:rsidTr="009C4E69">
        <w:tc>
          <w:tcPr>
            <w:tcW w:w="1530" w:type="dxa"/>
          </w:tcPr>
          <w:p w:rsidR="00067972" w:rsidRPr="00C159E2" w:rsidRDefault="00067972" w:rsidP="009C4E69">
            <w:pPr>
              <w:jc w:val="center"/>
              <w:rPr>
                <w:b/>
                <w:sz w:val="16"/>
                <w:szCs w:val="16"/>
                <w:u w:val="single"/>
              </w:rPr>
            </w:pPr>
            <w:r w:rsidRPr="00C159E2">
              <w:rPr>
                <w:b/>
                <w:sz w:val="16"/>
                <w:szCs w:val="16"/>
                <w:u w:val="single"/>
              </w:rPr>
              <w:t>A</w:t>
            </w:r>
          </w:p>
        </w:tc>
        <w:tc>
          <w:tcPr>
            <w:tcW w:w="1620" w:type="dxa"/>
          </w:tcPr>
          <w:p w:rsidR="00067972" w:rsidRPr="00C159E2" w:rsidRDefault="00067972" w:rsidP="009C4E69">
            <w:pPr>
              <w:jc w:val="center"/>
              <w:rPr>
                <w:b/>
                <w:sz w:val="16"/>
                <w:szCs w:val="16"/>
                <w:u w:val="single"/>
              </w:rPr>
            </w:pPr>
            <w:r w:rsidRPr="00C159E2">
              <w:rPr>
                <w:b/>
                <w:sz w:val="16"/>
                <w:szCs w:val="16"/>
                <w:u w:val="single"/>
              </w:rPr>
              <w:t>B</w:t>
            </w:r>
          </w:p>
        </w:tc>
        <w:tc>
          <w:tcPr>
            <w:tcW w:w="1440" w:type="dxa"/>
          </w:tcPr>
          <w:p w:rsidR="00067972" w:rsidRPr="00C159E2" w:rsidRDefault="00067972" w:rsidP="009C4E69">
            <w:pPr>
              <w:jc w:val="center"/>
              <w:rPr>
                <w:b/>
                <w:sz w:val="16"/>
                <w:szCs w:val="16"/>
                <w:u w:val="single"/>
              </w:rPr>
            </w:pPr>
            <w:r w:rsidRPr="00C159E2">
              <w:rPr>
                <w:b/>
                <w:sz w:val="16"/>
                <w:szCs w:val="16"/>
                <w:u w:val="single"/>
              </w:rPr>
              <w:t>C</w:t>
            </w:r>
          </w:p>
        </w:tc>
        <w:tc>
          <w:tcPr>
            <w:tcW w:w="1350" w:type="dxa"/>
          </w:tcPr>
          <w:p w:rsidR="00067972" w:rsidRPr="00C159E2" w:rsidRDefault="00067972" w:rsidP="009C4E69">
            <w:pPr>
              <w:jc w:val="center"/>
              <w:rPr>
                <w:b/>
                <w:sz w:val="16"/>
                <w:szCs w:val="16"/>
                <w:u w:val="single"/>
              </w:rPr>
            </w:pPr>
            <w:r w:rsidRPr="00C159E2">
              <w:rPr>
                <w:b/>
                <w:sz w:val="16"/>
                <w:szCs w:val="16"/>
                <w:u w:val="single"/>
              </w:rPr>
              <w:t>D</w:t>
            </w:r>
          </w:p>
        </w:tc>
      </w:tr>
      <w:tr w:rsidR="00067972" w:rsidRPr="00C159E2" w:rsidTr="009C4E69">
        <w:tc>
          <w:tcPr>
            <w:tcW w:w="1530" w:type="dxa"/>
          </w:tcPr>
          <w:p w:rsidR="00067972" w:rsidRPr="00C159E2" w:rsidRDefault="00067972" w:rsidP="009C4E69">
            <w:pPr>
              <w:jc w:val="center"/>
              <w:rPr>
                <w:sz w:val="16"/>
                <w:szCs w:val="16"/>
              </w:rPr>
            </w:pPr>
            <w:r w:rsidRPr="00C159E2">
              <w:rPr>
                <w:sz w:val="16"/>
                <w:szCs w:val="16"/>
              </w:rPr>
              <w:t>9.12</w:t>
            </w:r>
          </w:p>
        </w:tc>
        <w:tc>
          <w:tcPr>
            <w:tcW w:w="1620" w:type="dxa"/>
          </w:tcPr>
          <w:p w:rsidR="00067972" w:rsidRPr="00C159E2" w:rsidRDefault="00067972" w:rsidP="009C4E69">
            <w:pPr>
              <w:jc w:val="center"/>
              <w:rPr>
                <w:sz w:val="16"/>
                <w:szCs w:val="16"/>
              </w:rPr>
            </w:pPr>
            <w:r w:rsidRPr="00C159E2">
              <w:rPr>
                <w:sz w:val="16"/>
                <w:szCs w:val="16"/>
              </w:rPr>
              <w:t>11.95</w:t>
            </w:r>
          </w:p>
        </w:tc>
        <w:tc>
          <w:tcPr>
            <w:tcW w:w="1440" w:type="dxa"/>
          </w:tcPr>
          <w:p w:rsidR="00067972" w:rsidRPr="00C159E2" w:rsidRDefault="00067972" w:rsidP="009C4E69">
            <w:pPr>
              <w:jc w:val="center"/>
              <w:rPr>
                <w:sz w:val="16"/>
                <w:szCs w:val="16"/>
              </w:rPr>
            </w:pPr>
            <w:r w:rsidRPr="00C159E2">
              <w:rPr>
                <w:sz w:val="16"/>
                <w:szCs w:val="16"/>
              </w:rPr>
              <w:t>11.47</w:t>
            </w:r>
          </w:p>
        </w:tc>
        <w:tc>
          <w:tcPr>
            <w:tcW w:w="1350" w:type="dxa"/>
          </w:tcPr>
          <w:p w:rsidR="00067972" w:rsidRPr="00C159E2" w:rsidRDefault="00067972" w:rsidP="009C4E69">
            <w:pPr>
              <w:jc w:val="center"/>
              <w:rPr>
                <w:sz w:val="16"/>
                <w:szCs w:val="16"/>
              </w:rPr>
            </w:pPr>
            <w:r w:rsidRPr="00C159E2">
              <w:rPr>
                <w:sz w:val="16"/>
                <w:szCs w:val="16"/>
              </w:rPr>
              <w:t>11.35</w:t>
            </w:r>
          </w:p>
        </w:tc>
      </w:tr>
      <w:tr w:rsidR="00067972" w:rsidRPr="00C159E2" w:rsidTr="009C4E69">
        <w:tc>
          <w:tcPr>
            <w:tcW w:w="1530" w:type="dxa"/>
          </w:tcPr>
          <w:p w:rsidR="00067972" w:rsidRPr="00C159E2" w:rsidRDefault="00067972" w:rsidP="009C4E69">
            <w:pPr>
              <w:jc w:val="center"/>
              <w:rPr>
                <w:sz w:val="16"/>
                <w:szCs w:val="16"/>
              </w:rPr>
            </w:pPr>
            <w:r w:rsidRPr="00C159E2">
              <w:rPr>
                <w:sz w:val="16"/>
                <w:szCs w:val="16"/>
              </w:rPr>
              <w:t>13.29</w:t>
            </w:r>
          </w:p>
        </w:tc>
        <w:tc>
          <w:tcPr>
            <w:tcW w:w="1620" w:type="dxa"/>
          </w:tcPr>
          <w:p w:rsidR="00067972" w:rsidRPr="00C159E2" w:rsidRDefault="00067972" w:rsidP="009C4E69">
            <w:pPr>
              <w:jc w:val="center"/>
              <w:rPr>
                <w:sz w:val="16"/>
                <w:szCs w:val="16"/>
              </w:rPr>
            </w:pPr>
            <w:r w:rsidRPr="00C159E2">
              <w:rPr>
                <w:sz w:val="16"/>
                <w:szCs w:val="16"/>
              </w:rPr>
              <w:t>15.15</w:t>
            </w:r>
          </w:p>
        </w:tc>
        <w:tc>
          <w:tcPr>
            <w:tcW w:w="1440" w:type="dxa"/>
          </w:tcPr>
          <w:p w:rsidR="00067972" w:rsidRPr="00C159E2" w:rsidRDefault="00067972" w:rsidP="009C4E69">
            <w:pPr>
              <w:jc w:val="center"/>
              <w:rPr>
                <w:sz w:val="16"/>
                <w:szCs w:val="16"/>
              </w:rPr>
            </w:pPr>
            <w:r w:rsidRPr="00C159E2">
              <w:rPr>
                <w:sz w:val="16"/>
                <w:szCs w:val="16"/>
              </w:rPr>
              <w:t>9.54</w:t>
            </w:r>
          </w:p>
        </w:tc>
        <w:tc>
          <w:tcPr>
            <w:tcW w:w="1350" w:type="dxa"/>
          </w:tcPr>
          <w:p w:rsidR="00067972" w:rsidRPr="00C159E2" w:rsidRDefault="00067972" w:rsidP="009C4E69">
            <w:pPr>
              <w:jc w:val="center"/>
              <w:rPr>
                <w:sz w:val="16"/>
                <w:szCs w:val="16"/>
              </w:rPr>
            </w:pPr>
            <w:r w:rsidRPr="00C159E2">
              <w:rPr>
                <w:sz w:val="16"/>
                <w:szCs w:val="16"/>
              </w:rPr>
              <w:t>8.63</w:t>
            </w:r>
          </w:p>
        </w:tc>
      </w:tr>
      <w:tr w:rsidR="00067972" w:rsidRPr="00C159E2" w:rsidTr="009C4E69">
        <w:tc>
          <w:tcPr>
            <w:tcW w:w="1530" w:type="dxa"/>
          </w:tcPr>
          <w:p w:rsidR="00067972" w:rsidRPr="00C159E2" w:rsidRDefault="00067972" w:rsidP="009C4E69">
            <w:pPr>
              <w:jc w:val="center"/>
              <w:rPr>
                <w:sz w:val="16"/>
                <w:szCs w:val="16"/>
              </w:rPr>
            </w:pPr>
            <w:r w:rsidRPr="00C159E2">
              <w:rPr>
                <w:sz w:val="16"/>
                <w:szCs w:val="16"/>
              </w:rPr>
              <w:t>12.07</w:t>
            </w:r>
          </w:p>
        </w:tc>
        <w:tc>
          <w:tcPr>
            <w:tcW w:w="1620" w:type="dxa"/>
          </w:tcPr>
          <w:p w:rsidR="00067972" w:rsidRPr="00C159E2" w:rsidRDefault="00067972" w:rsidP="009C4E69">
            <w:pPr>
              <w:jc w:val="center"/>
              <w:rPr>
                <w:sz w:val="16"/>
                <w:szCs w:val="16"/>
              </w:rPr>
            </w:pPr>
            <w:r w:rsidRPr="00C159E2">
              <w:rPr>
                <w:sz w:val="16"/>
                <w:szCs w:val="16"/>
              </w:rPr>
              <w:t>14.74</w:t>
            </w:r>
          </w:p>
        </w:tc>
        <w:tc>
          <w:tcPr>
            <w:tcW w:w="1440" w:type="dxa"/>
          </w:tcPr>
          <w:p w:rsidR="00067972" w:rsidRPr="00C159E2" w:rsidRDefault="00067972" w:rsidP="009C4E69">
            <w:pPr>
              <w:jc w:val="center"/>
              <w:rPr>
                <w:sz w:val="16"/>
                <w:szCs w:val="16"/>
              </w:rPr>
            </w:pPr>
            <w:r w:rsidRPr="00C159E2">
              <w:rPr>
                <w:sz w:val="16"/>
                <w:szCs w:val="16"/>
              </w:rPr>
              <w:t>11.26</w:t>
            </w:r>
          </w:p>
        </w:tc>
        <w:tc>
          <w:tcPr>
            <w:tcW w:w="1350" w:type="dxa"/>
          </w:tcPr>
          <w:p w:rsidR="00067972" w:rsidRPr="00C159E2" w:rsidRDefault="00067972" w:rsidP="009C4E69">
            <w:pPr>
              <w:jc w:val="center"/>
              <w:rPr>
                <w:sz w:val="16"/>
                <w:szCs w:val="16"/>
              </w:rPr>
            </w:pPr>
            <w:r w:rsidRPr="00C159E2">
              <w:rPr>
                <w:sz w:val="16"/>
                <w:szCs w:val="16"/>
              </w:rPr>
              <w:t>10.10</w:t>
            </w:r>
          </w:p>
        </w:tc>
      </w:tr>
      <w:tr w:rsidR="00067972" w:rsidRPr="00C159E2" w:rsidTr="009C4E69">
        <w:tc>
          <w:tcPr>
            <w:tcW w:w="1530" w:type="dxa"/>
          </w:tcPr>
          <w:p w:rsidR="00067972" w:rsidRPr="00C159E2" w:rsidRDefault="00067972" w:rsidP="009C4E69">
            <w:pPr>
              <w:jc w:val="center"/>
              <w:rPr>
                <w:sz w:val="16"/>
                <w:szCs w:val="16"/>
              </w:rPr>
            </w:pPr>
            <w:r w:rsidRPr="00C159E2">
              <w:rPr>
                <w:sz w:val="16"/>
                <w:szCs w:val="16"/>
              </w:rPr>
              <w:t>11.95</w:t>
            </w:r>
          </w:p>
        </w:tc>
        <w:tc>
          <w:tcPr>
            <w:tcW w:w="1620" w:type="dxa"/>
          </w:tcPr>
          <w:p w:rsidR="00067972" w:rsidRPr="00C159E2" w:rsidRDefault="00067972" w:rsidP="009C4E69">
            <w:pPr>
              <w:jc w:val="center"/>
              <w:rPr>
                <w:sz w:val="16"/>
                <w:szCs w:val="16"/>
              </w:rPr>
            </w:pPr>
            <w:r w:rsidRPr="00C159E2">
              <w:rPr>
                <w:sz w:val="16"/>
                <w:szCs w:val="16"/>
              </w:rPr>
              <w:t>14.79</w:t>
            </w:r>
          </w:p>
        </w:tc>
        <w:tc>
          <w:tcPr>
            <w:tcW w:w="1440" w:type="dxa"/>
          </w:tcPr>
          <w:p w:rsidR="00067972" w:rsidRPr="00C159E2" w:rsidRDefault="00067972" w:rsidP="009C4E69">
            <w:pPr>
              <w:jc w:val="center"/>
              <w:rPr>
                <w:sz w:val="16"/>
                <w:szCs w:val="16"/>
              </w:rPr>
            </w:pPr>
            <w:r w:rsidRPr="00C159E2">
              <w:rPr>
                <w:sz w:val="16"/>
                <w:szCs w:val="16"/>
              </w:rPr>
              <w:t>13.56</w:t>
            </w:r>
          </w:p>
        </w:tc>
        <w:tc>
          <w:tcPr>
            <w:tcW w:w="1350" w:type="dxa"/>
          </w:tcPr>
          <w:p w:rsidR="00067972" w:rsidRPr="00C159E2" w:rsidRDefault="00067972" w:rsidP="009C4E69">
            <w:pPr>
              <w:jc w:val="center"/>
              <w:rPr>
                <w:sz w:val="16"/>
                <w:szCs w:val="16"/>
              </w:rPr>
            </w:pPr>
            <w:r w:rsidRPr="00C159E2">
              <w:rPr>
                <w:sz w:val="16"/>
                <w:szCs w:val="16"/>
              </w:rPr>
              <w:t>9.75</w:t>
            </w:r>
          </w:p>
        </w:tc>
      </w:tr>
      <w:tr w:rsidR="00067972" w:rsidRPr="00C159E2" w:rsidTr="009C4E69">
        <w:tc>
          <w:tcPr>
            <w:tcW w:w="1530" w:type="dxa"/>
          </w:tcPr>
          <w:p w:rsidR="00067972" w:rsidRPr="00C159E2" w:rsidRDefault="00067972" w:rsidP="009C4E69">
            <w:pPr>
              <w:jc w:val="center"/>
              <w:rPr>
                <w:sz w:val="16"/>
                <w:szCs w:val="16"/>
              </w:rPr>
            </w:pPr>
            <w:r w:rsidRPr="00C159E2">
              <w:rPr>
                <w:sz w:val="16"/>
                <w:szCs w:val="16"/>
              </w:rPr>
              <w:t>13.31</w:t>
            </w:r>
          </w:p>
        </w:tc>
        <w:tc>
          <w:tcPr>
            <w:tcW w:w="1620" w:type="dxa"/>
          </w:tcPr>
          <w:p w:rsidR="00067972" w:rsidRPr="00C159E2" w:rsidRDefault="00067972" w:rsidP="009C4E69">
            <w:pPr>
              <w:jc w:val="center"/>
              <w:rPr>
                <w:sz w:val="16"/>
                <w:szCs w:val="16"/>
              </w:rPr>
            </w:pPr>
            <w:r w:rsidRPr="00C159E2">
              <w:rPr>
                <w:sz w:val="16"/>
                <w:szCs w:val="16"/>
              </w:rPr>
              <w:t>15.48</w:t>
            </w:r>
          </w:p>
        </w:tc>
        <w:tc>
          <w:tcPr>
            <w:tcW w:w="1440" w:type="dxa"/>
          </w:tcPr>
          <w:p w:rsidR="00067972" w:rsidRPr="00C159E2" w:rsidRDefault="00067972" w:rsidP="009C4E69">
            <w:pPr>
              <w:jc w:val="center"/>
              <w:rPr>
                <w:sz w:val="16"/>
                <w:szCs w:val="16"/>
              </w:rPr>
            </w:pPr>
            <w:r w:rsidRPr="00C159E2">
              <w:rPr>
                <w:sz w:val="16"/>
                <w:szCs w:val="16"/>
              </w:rPr>
              <w:t>11.18</w:t>
            </w:r>
          </w:p>
        </w:tc>
        <w:tc>
          <w:tcPr>
            <w:tcW w:w="1350" w:type="dxa"/>
          </w:tcPr>
          <w:p w:rsidR="00067972" w:rsidRPr="00C159E2" w:rsidRDefault="00067972" w:rsidP="009C4E69">
            <w:pPr>
              <w:jc w:val="center"/>
              <w:rPr>
                <w:sz w:val="16"/>
                <w:szCs w:val="16"/>
              </w:rPr>
            </w:pPr>
            <w:r w:rsidRPr="00C159E2">
              <w:rPr>
                <w:sz w:val="16"/>
                <w:szCs w:val="16"/>
              </w:rPr>
              <w:t>11.71</w:t>
            </w:r>
          </w:p>
        </w:tc>
      </w:tr>
      <w:tr w:rsidR="00067972" w:rsidRPr="00C159E2" w:rsidTr="009C4E69">
        <w:tc>
          <w:tcPr>
            <w:tcW w:w="1530" w:type="dxa"/>
          </w:tcPr>
          <w:p w:rsidR="00067972" w:rsidRPr="00C159E2" w:rsidRDefault="00067972" w:rsidP="009C4E69">
            <w:pPr>
              <w:jc w:val="center"/>
              <w:rPr>
                <w:sz w:val="16"/>
                <w:szCs w:val="16"/>
              </w:rPr>
            </w:pPr>
            <w:r w:rsidRPr="00C159E2">
              <w:rPr>
                <w:sz w:val="16"/>
                <w:szCs w:val="16"/>
              </w:rPr>
              <w:t>12.32</w:t>
            </w:r>
          </w:p>
        </w:tc>
        <w:tc>
          <w:tcPr>
            <w:tcW w:w="1620" w:type="dxa"/>
          </w:tcPr>
          <w:p w:rsidR="00067972" w:rsidRPr="00C159E2" w:rsidRDefault="00067972" w:rsidP="009C4E69">
            <w:pPr>
              <w:jc w:val="center"/>
              <w:rPr>
                <w:sz w:val="16"/>
                <w:szCs w:val="16"/>
              </w:rPr>
            </w:pPr>
            <w:r w:rsidRPr="00C159E2">
              <w:rPr>
                <w:sz w:val="16"/>
                <w:szCs w:val="16"/>
              </w:rPr>
              <w:t>13.47</w:t>
            </w:r>
          </w:p>
        </w:tc>
        <w:tc>
          <w:tcPr>
            <w:tcW w:w="1440" w:type="dxa"/>
          </w:tcPr>
          <w:p w:rsidR="00067972" w:rsidRPr="00C159E2" w:rsidRDefault="00067972" w:rsidP="009C4E69">
            <w:pPr>
              <w:jc w:val="center"/>
              <w:rPr>
                <w:sz w:val="16"/>
                <w:szCs w:val="16"/>
              </w:rPr>
            </w:pPr>
            <w:r w:rsidRPr="00C159E2">
              <w:rPr>
                <w:sz w:val="16"/>
                <w:szCs w:val="16"/>
              </w:rPr>
              <w:t>15.03</w:t>
            </w:r>
          </w:p>
        </w:tc>
        <w:tc>
          <w:tcPr>
            <w:tcW w:w="1350" w:type="dxa"/>
          </w:tcPr>
          <w:p w:rsidR="00067972" w:rsidRPr="00C159E2" w:rsidRDefault="00067972" w:rsidP="009C4E69">
            <w:pPr>
              <w:jc w:val="center"/>
              <w:rPr>
                <w:sz w:val="16"/>
                <w:szCs w:val="16"/>
              </w:rPr>
            </w:pPr>
            <w:r w:rsidRPr="00C159E2">
              <w:rPr>
                <w:sz w:val="16"/>
                <w:szCs w:val="16"/>
              </w:rPr>
              <w:t>12.45</w:t>
            </w:r>
          </w:p>
        </w:tc>
      </w:tr>
      <w:tr w:rsidR="00067972" w:rsidRPr="00C159E2" w:rsidTr="009C4E69">
        <w:tc>
          <w:tcPr>
            <w:tcW w:w="1530" w:type="dxa"/>
          </w:tcPr>
          <w:p w:rsidR="00067972" w:rsidRPr="00C159E2" w:rsidRDefault="00067972" w:rsidP="009C4E69">
            <w:pPr>
              <w:jc w:val="center"/>
              <w:rPr>
                <w:sz w:val="16"/>
                <w:szCs w:val="16"/>
              </w:rPr>
            </w:pPr>
            <w:r w:rsidRPr="00C159E2">
              <w:rPr>
                <w:sz w:val="16"/>
                <w:szCs w:val="16"/>
              </w:rPr>
              <w:t>11.68</w:t>
            </w:r>
          </w:p>
        </w:tc>
        <w:tc>
          <w:tcPr>
            <w:tcW w:w="1620" w:type="dxa"/>
          </w:tcPr>
          <w:p w:rsidR="00067972" w:rsidRPr="00C159E2" w:rsidRDefault="00067972" w:rsidP="009C4E69">
            <w:pPr>
              <w:jc w:val="center"/>
              <w:rPr>
                <w:sz w:val="16"/>
                <w:szCs w:val="16"/>
              </w:rPr>
            </w:pPr>
            <w:r w:rsidRPr="00C159E2">
              <w:rPr>
                <w:sz w:val="16"/>
                <w:szCs w:val="16"/>
              </w:rPr>
              <w:t>13.06</w:t>
            </w:r>
          </w:p>
        </w:tc>
        <w:tc>
          <w:tcPr>
            <w:tcW w:w="1440" w:type="dxa"/>
          </w:tcPr>
          <w:p w:rsidR="00067972" w:rsidRPr="00C159E2" w:rsidRDefault="00067972" w:rsidP="009C4E69">
            <w:pPr>
              <w:jc w:val="center"/>
              <w:rPr>
                <w:sz w:val="16"/>
                <w:szCs w:val="16"/>
              </w:rPr>
            </w:pPr>
            <w:r w:rsidRPr="00C159E2">
              <w:rPr>
                <w:sz w:val="16"/>
                <w:szCs w:val="16"/>
              </w:rPr>
              <w:t>14.86</w:t>
            </w:r>
          </w:p>
        </w:tc>
        <w:tc>
          <w:tcPr>
            <w:tcW w:w="1350" w:type="dxa"/>
          </w:tcPr>
          <w:p w:rsidR="00067972" w:rsidRPr="00C159E2" w:rsidRDefault="00067972" w:rsidP="009C4E69">
            <w:pPr>
              <w:jc w:val="center"/>
              <w:rPr>
                <w:sz w:val="16"/>
                <w:szCs w:val="16"/>
              </w:rPr>
            </w:pPr>
            <w:r w:rsidRPr="00C159E2">
              <w:rPr>
                <w:sz w:val="16"/>
                <w:szCs w:val="16"/>
              </w:rPr>
              <w:t>12.38</w:t>
            </w:r>
          </w:p>
        </w:tc>
      </w:tr>
    </w:tbl>
    <w:p w:rsidR="00067972" w:rsidRPr="00C159E2" w:rsidRDefault="00067972" w:rsidP="00067972">
      <w:pPr>
        <w:spacing w:after="0" w:line="240" w:lineRule="auto"/>
        <w:ind w:left="360"/>
        <w:rPr>
          <w:sz w:val="16"/>
          <w:szCs w:val="16"/>
        </w:rPr>
      </w:pPr>
    </w:p>
    <w:p w:rsidR="00067972" w:rsidRDefault="00067972" w:rsidP="00067972">
      <w:pPr>
        <w:numPr>
          <w:ilvl w:val="0"/>
          <w:numId w:val="1"/>
        </w:numPr>
        <w:spacing w:after="0" w:line="240" w:lineRule="auto"/>
      </w:pPr>
      <w:r>
        <w:t xml:space="preserve">Using SPSS to complete an analysis of your choice, can you determine a significant </w:t>
      </w:r>
      <w:r w:rsidRPr="00B61524">
        <w:t>difference in mean wear among the four treatments?  Use α = .05.</w:t>
      </w:r>
      <w:r>
        <w:t xml:space="preserve"> </w:t>
      </w:r>
    </w:p>
    <w:p w:rsidR="00067972" w:rsidRPr="00C159E2" w:rsidRDefault="00067972" w:rsidP="00067972">
      <w:pPr>
        <w:spacing w:after="0" w:line="240" w:lineRule="auto"/>
        <w:rPr>
          <w:sz w:val="16"/>
          <w:szCs w:val="16"/>
        </w:rPr>
      </w:pPr>
    </w:p>
    <w:p w:rsidR="00067972" w:rsidRDefault="00067972" w:rsidP="00067972">
      <w:pPr>
        <w:numPr>
          <w:ilvl w:val="0"/>
          <w:numId w:val="1"/>
        </w:numPr>
        <w:spacing w:after="0" w:line="240" w:lineRule="auto"/>
      </w:pPr>
      <w:r w:rsidRPr="00B61524">
        <w:t xml:space="preserve">Estimate the mean difference in haze increase between treatments B and C </w:t>
      </w:r>
      <w:r>
        <w:t xml:space="preserve">using a 99% confidence interval </w:t>
      </w:r>
    </w:p>
    <w:p w:rsidR="00067972" w:rsidRPr="00C159E2" w:rsidRDefault="00067972" w:rsidP="00067972">
      <w:pPr>
        <w:spacing w:after="0" w:line="240" w:lineRule="auto"/>
        <w:rPr>
          <w:sz w:val="16"/>
          <w:szCs w:val="16"/>
        </w:rPr>
      </w:pPr>
    </w:p>
    <w:p w:rsidR="00067972" w:rsidRPr="00B61524" w:rsidRDefault="00067972" w:rsidP="00067972">
      <w:pPr>
        <w:numPr>
          <w:ilvl w:val="0"/>
          <w:numId w:val="1"/>
        </w:numPr>
        <w:spacing w:after="0" w:line="240" w:lineRule="auto"/>
      </w:pPr>
      <w:r w:rsidRPr="00B61524">
        <w:t>Find a 90% confidence interval for the mean wear f</w:t>
      </w:r>
      <w:r>
        <w:t xml:space="preserve">or lenses receiving treatment A </w:t>
      </w:r>
    </w:p>
    <w:p w:rsidR="00275022" w:rsidRDefault="00067972"/>
    <w:sectPr w:rsidR="00275022" w:rsidSect="00834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A7C5F"/>
    <w:multiLevelType w:val="hybridMultilevel"/>
    <w:tmpl w:val="15A4B6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67972"/>
    <w:rsid w:val="00067972"/>
    <w:rsid w:val="002723F3"/>
    <w:rsid w:val="00406708"/>
    <w:rsid w:val="0083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72"/>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972"/>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2009-04-07T14:55:00Z</dcterms:created>
  <dcterms:modified xsi:type="dcterms:W3CDTF">2009-04-07T14:55:00Z</dcterms:modified>
</cp:coreProperties>
</file>