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D2E1E8"/>
        <w:tblCellMar>
          <w:left w:w="0" w:type="dxa"/>
          <w:right w:w="0" w:type="dxa"/>
        </w:tblCellMar>
        <w:tblLook w:val="04A0"/>
      </w:tblPr>
      <w:tblGrid>
        <w:gridCol w:w="4959"/>
      </w:tblGrid>
      <w:tr w:rsidR="003E0911" w:rsidRPr="003E0911">
        <w:trPr>
          <w:tblCellSpacing w:w="0" w:type="dxa"/>
        </w:trPr>
        <w:tc>
          <w:tcPr>
            <w:tcW w:w="0" w:type="auto"/>
            <w:shd w:val="clear" w:color="auto" w:fill="D2E1E8"/>
            <w:vAlign w:val="center"/>
            <w:hideMark/>
          </w:tcPr>
          <w:p w:rsidR="003E0911" w:rsidRPr="003E0911" w:rsidRDefault="003E0911" w:rsidP="003E0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11">
              <w:rPr>
                <w:rFonts w:ascii="Times New Roman" w:eastAsia="Times New Roman" w:hAnsi="Times New Roman" w:cs="Times New Roman"/>
                <w:sz w:val="24"/>
                <w:szCs w:val="24"/>
              </w:rPr>
              <w:t>Market Snapshot</w:t>
            </w: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19050" t="0" r="0" b="0"/>
                  <wp:docPr id="1" name="Picture 1" descr="http://images.bloomberg.com/r06/markets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bloomberg.com/r06/markets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11" w:rsidRPr="003E0911">
        <w:trPr>
          <w:tblCellSpacing w:w="0" w:type="dxa"/>
        </w:trPr>
        <w:tc>
          <w:tcPr>
            <w:tcW w:w="0" w:type="auto"/>
            <w:shd w:val="clear" w:color="auto" w:fill="D2E1E8"/>
            <w:vAlign w:val="center"/>
            <w:hideMark/>
          </w:tcPr>
          <w:tbl>
            <w:tblPr>
              <w:tblW w:w="4800" w:type="pct"/>
              <w:jc w:val="center"/>
              <w:tblCellSpacing w:w="0" w:type="dxa"/>
              <w:shd w:val="clear" w:color="auto" w:fill="D2E1E8"/>
              <w:tblCellMar>
                <w:left w:w="0" w:type="dxa"/>
                <w:right w:w="0" w:type="dxa"/>
              </w:tblCellMar>
              <w:tblLook w:val="04A0"/>
            </w:tblPr>
            <w:tblGrid>
              <w:gridCol w:w="4761"/>
            </w:tblGrid>
            <w:tr w:rsidR="003E0911" w:rsidRPr="003E09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2E1E8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9"/>
                    <w:gridCol w:w="1172"/>
                    <w:gridCol w:w="1200"/>
                    <w:gridCol w:w="1200"/>
                  </w:tblGrid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DJIA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7,975.85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-41.74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-0.52%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Nasdaq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1,606.71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-15.16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-0.93%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S&amp;P 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835.48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-7.02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-0.83%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S&amp;P/TSX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9,016.17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-49.59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-0.55%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Bovespa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44,167.26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-223.72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-0.50%</w:t>
                        </w:r>
                      </w:p>
                    </w:tc>
                  </w:tr>
                </w:tbl>
                <w:p w:rsidR="003E0911" w:rsidRPr="003E0911" w:rsidRDefault="003E0911" w:rsidP="003E0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1"/>
                    <w:gridCol w:w="1200"/>
                    <w:gridCol w:w="1200"/>
                  </w:tblGrid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U.S. Fed Funds Rate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.17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0.02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U.S. Fed Target Rate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.25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Canadian 10-Year Bond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2.99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0.06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U.S. 10-Year Treasury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2.92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0.04</w:t>
                        </w:r>
                      </w:p>
                    </w:tc>
                  </w:tr>
                </w:tbl>
                <w:p w:rsidR="003E0911" w:rsidRPr="003E0911" w:rsidRDefault="003E0911" w:rsidP="003E0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1"/>
                    <w:gridCol w:w="1200"/>
                    <w:gridCol w:w="1200"/>
                  </w:tblGrid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U.S. GDP*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12/31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-6.3%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U.S. Unemployment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04/03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8.5%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Canadian Unemployment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03/13</w:t>
                        </w:r>
                      </w:p>
                    </w:tc>
                    <w:tc>
                      <w:tcPr>
                        <w:tcW w:w="1200" w:type="dxa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7.7%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Brazilian Unemployment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03/26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8.5%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*Quarterly rate annualized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0911" w:rsidRPr="003E0911" w:rsidRDefault="003E0911" w:rsidP="003E0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0911" w:rsidRPr="003E0911" w:rsidRDefault="003E0911" w:rsidP="003E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911" w:rsidRPr="003E0911" w:rsidRDefault="003E0911" w:rsidP="003E0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D2E1E8"/>
        <w:tblCellMar>
          <w:left w:w="0" w:type="dxa"/>
          <w:right w:w="0" w:type="dxa"/>
        </w:tblCellMar>
        <w:tblLook w:val="04A0"/>
      </w:tblPr>
      <w:tblGrid>
        <w:gridCol w:w="9348"/>
        <w:gridCol w:w="6"/>
        <w:gridCol w:w="6"/>
      </w:tblGrid>
      <w:tr w:rsidR="003E0911" w:rsidRPr="003E0911">
        <w:trPr>
          <w:tblCellSpacing w:w="0" w:type="dxa"/>
        </w:trPr>
        <w:tc>
          <w:tcPr>
            <w:tcW w:w="0" w:type="auto"/>
            <w:gridSpan w:val="3"/>
            <w:shd w:val="clear" w:color="auto" w:fill="D2E1E8"/>
            <w:vAlign w:val="center"/>
            <w:hideMark/>
          </w:tcPr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19050" t="0" r="0" b="0"/>
                  <wp:docPr id="2" name="Picture 2" descr="http://images.bloomberg.com/r06/markets/t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bloomberg.com/r06/markets/t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911" w:rsidRPr="003E0911" w:rsidRDefault="003E0911" w:rsidP="003E0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11">
              <w:rPr>
                <w:rFonts w:ascii="Times New Roman" w:eastAsia="Times New Roman" w:hAnsi="Times New Roman" w:cs="Times New Roman"/>
                <w:sz w:val="24"/>
                <w:szCs w:val="24"/>
              </w:rPr>
              <w:t>Currencies</w:t>
            </w: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19050" t="0" r="0" b="0"/>
                  <wp:docPr id="3" name="Picture 3" descr="http://images.bloomberg.com/r06/markets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bloomberg.com/r06/markets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11" w:rsidRPr="003E0911">
        <w:trPr>
          <w:tblCellSpacing w:w="0" w:type="dxa"/>
        </w:trPr>
        <w:tc>
          <w:tcPr>
            <w:tcW w:w="5000" w:type="pct"/>
            <w:shd w:val="clear" w:color="auto" w:fill="D2E1E8"/>
            <w:vAlign w:val="center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4"/>
            </w:tblGrid>
            <w:tr w:rsidR="003E0911" w:rsidRPr="003E09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644"/>
                    <w:gridCol w:w="1776"/>
                    <w:gridCol w:w="1777"/>
                    <w:gridCol w:w="1777"/>
                  </w:tblGrid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USD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Euro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Yen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Brazilian Real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2.2204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2.9742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0.0220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Canadian Dollar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1.2393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1.6600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0.0123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Euro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0.7466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------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0.0074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British Pound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0.6783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0.9086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0.0067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Japanese Yen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101.025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135.322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------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Swiss Franc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1.1378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1.5240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0.0113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U.S. Dollar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------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1.3395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0.0099</w:t>
                        </w:r>
                      </w:p>
                    </w:tc>
                  </w:tr>
                </w:tbl>
                <w:p w:rsidR="003E0911" w:rsidRPr="003E0911" w:rsidRDefault="003E0911" w:rsidP="003E091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3E0911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4500" w:type="pct"/>
                    <w:tblCellSpacing w:w="0" w:type="dxa"/>
                    <w:shd w:val="clear" w:color="auto" w:fill="D2E1E8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457"/>
                    <w:gridCol w:w="5912"/>
                    <w:gridCol w:w="708"/>
                  </w:tblGrid>
                  <w:tr w:rsidR="003E0911" w:rsidRPr="003E0911" w:rsidTr="003E091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Currency Converter</w:t>
                        </w:r>
                      </w:p>
                    </w:tc>
                  </w:tr>
                  <w:tr w:rsidR="003E0911" w:rsidRPr="003E0911" w:rsidTr="003E0911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D2E1E8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Amount </w:t>
                        </w: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83" type="#_x0000_t75" style="width:49.5pt;height:18pt" o:ole="">
                              <v:imagedata r:id="rId6" o:title=""/>
                            </v:shape>
                            <w:control r:id="rId7" w:name="DefaultOcxName" w:shapeid="_x0000_i1083"/>
                          </w:object>
                        </w: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2" type="#_x0000_t75" style="width:1in;height:18pt" o:ole="">
                              <v:imagedata r:id="rId8" o:title=""/>
                            </v:shape>
                            <w:control r:id="rId9" w:name="DefaultOcxName1" w:shapeid="_x0000_i1082"/>
                          </w:object>
                        </w: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1" type="#_x0000_t75" style="width:1in;height:18pt" o:ole="">
                              <v:imagedata r:id="rId10" o:title=""/>
                            </v:shape>
                            <w:control r:id="rId11" w:name="DefaultOcxName2" w:shapeid="_x0000_i1081"/>
                          </w:object>
                        </w: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0" type="#_x0000_t75" style="width:1in;height:18pt" o:ole="">
                              <v:imagedata r:id="rId12" o:title=""/>
                            </v:shape>
                            <w:control r:id="rId13" w:name="DefaultOcxName3" w:shapeid="_x0000_i1080"/>
                          </w:object>
                        </w: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9" type="#_x0000_t75" style="width:1in;height:18pt" o:ole="">
                              <v:imagedata r:id="rId14" o:title=""/>
                            </v:shape>
                            <w:control r:id="rId15" w:name="DefaultOcxName4" w:shapeid="_x0000_i1079"/>
                          </w:object>
                        </w: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8" type="#_x0000_t75" style="width:1in;height:18pt" o:ole="">
                              <v:imagedata r:id="rId16" o:title=""/>
                            </v:shape>
                            <w:control r:id="rId17" w:name="DefaultOcxName5" w:shapeid="_x0000_i1078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Convert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0911" w:rsidRPr="003E0911" w:rsidTr="003E0911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7" type="#_x0000_t75" style="width:210pt;height:18pt" o:ole="">
                              <v:imagedata r:id="rId18" o:title=""/>
                            </v:shape>
                            <w:control r:id="rId19" w:name="DefaultOcxName6" w:shapeid="_x0000_i1077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0911" w:rsidRPr="003E0911" w:rsidTr="003E0911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0911" w:rsidRPr="003E0911" w:rsidTr="003E0911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6" type="#_x0000_t75" style="width:210pt;height:18pt" o:ole="">
                              <v:imagedata r:id="rId20" o:title=""/>
                            </v:shape>
                            <w:control r:id="rId21" w:name="DefaultOcxName7" w:shapeid="_x0000_i107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6700" cy="142875"/>
                              <wp:effectExtent l="19050" t="0" r="0" b="0"/>
                              <wp:docPr id="4" name="Picture 4" descr="http://images.bloomberg.com/r06/markets/go_blu.gif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ages.bloomberg.com/r06/markets/go_blu.gif">
                                        <a:hlinkClick r:id="rId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E0911" w:rsidRPr="003E0911" w:rsidRDefault="003E0911" w:rsidP="003E091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3E0911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3E0911" w:rsidRPr="003E0911" w:rsidRDefault="003E0911" w:rsidP="003E0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09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3E09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3E09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</w:p>
              </w:tc>
            </w:tr>
          </w:tbl>
          <w:p w:rsidR="003E0911" w:rsidRPr="003E0911" w:rsidRDefault="003E0911" w:rsidP="003E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2E1E8"/>
            <w:vAlign w:val="center"/>
            <w:hideMark/>
          </w:tcPr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2E1E8"/>
            <w:vAlign w:val="center"/>
            <w:hideMark/>
          </w:tcPr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911" w:rsidRPr="003E0911" w:rsidRDefault="003E0911" w:rsidP="003E0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D2E1E8"/>
        <w:tblCellMar>
          <w:left w:w="0" w:type="dxa"/>
          <w:right w:w="0" w:type="dxa"/>
        </w:tblCellMar>
        <w:tblLook w:val="04A0"/>
      </w:tblPr>
      <w:tblGrid>
        <w:gridCol w:w="9348"/>
        <w:gridCol w:w="6"/>
        <w:gridCol w:w="6"/>
      </w:tblGrid>
      <w:tr w:rsidR="003E0911" w:rsidRPr="003E0911">
        <w:trPr>
          <w:tblCellSpacing w:w="0" w:type="dxa"/>
        </w:trPr>
        <w:tc>
          <w:tcPr>
            <w:tcW w:w="0" w:type="auto"/>
            <w:gridSpan w:val="3"/>
            <w:shd w:val="clear" w:color="auto" w:fill="D2E1E8"/>
            <w:hideMark/>
          </w:tcPr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00" cy="38100"/>
                  <wp:effectExtent l="19050" t="0" r="0" b="0"/>
                  <wp:docPr id="8" name="Picture 8" descr="http://images.bloomberg.com/r06/markets/t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bloomberg.com/r06/markets/t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911" w:rsidRPr="003E0911" w:rsidRDefault="003E0911" w:rsidP="003E0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11">
              <w:rPr>
                <w:rFonts w:ascii="Times New Roman" w:eastAsia="Times New Roman" w:hAnsi="Times New Roman" w:cs="Times New Roman"/>
                <w:sz w:val="24"/>
                <w:szCs w:val="24"/>
              </w:rPr>
              <w:t>Today's Top U.S. Funds</w:t>
            </w: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19050" t="0" r="0" b="0"/>
                  <wp:docPr id="9" name="Picture 9" descr="http://images.bloomberg.com/r06/markets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bloomberg.com/r06/markets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11" w:rsidRPr="003E0911">
        <w:trPr>
          <w:tblCellSpacing w:w="0" w:type="dxa"/>
        </w:trPr>
        <w:tc>
          <w:tcPr>
            <w:tcW w:w="5000" w:type="pct"/>
            <w:shd w:val="clear" w:color="auto" w:fill="D2E1E8"/>
            <w:vAlign w:val="center"/>
            <w:hideMark/>
          </w:tcPr>
          <w:tbl>
            <w:tblPr>
              <w:tblW w:w="4800" w:type="pct"/>
              <w:jc w:val="center"/>
              <w:tblCellSpacing w:w="0" w:type="dxa"/>
              <w:shd w:val="clear" w:color="auto" w:fill="D2E1E8"/>
              <w:tblCellMar>
                <w:left w:w="0" w:type="dxa"/>
                <w:right w:w="0" w:type="dxa"/>
              </w:tblCellMar>
              <w:tblLook w:val="04A0"/>
            </w:tblPr>
            <w:tblGrid>
              <w:gridCol w:w="8974"/>
            </w:tblGrid>
            <w:tr w:rsidR="003E0911" w:rsidRPr="003E09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2E1E8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44"/>
                    <w:gridCol w:w="2215"/>
                    <w:gridCol w:w="2215"/>
                  </w:tblGrid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YTD   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ELEMENTS GOLD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10.10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184.46%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HORIZONS BETAPRO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N.A.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106.97%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AMER PEN-CP I-A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22.20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92.04%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AMER PEN-EF FCI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21.94</w:t>
                        </w:r>
                      </w:p>
                    </w:tc>
                    <w:tc>
                      <w:tcPr>
                        <w:tcW w:w="950" w:type="pct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91.95%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1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AMER PEN-CP I-CI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21.52</w:t>
                        </w:r>
                      </w:p>
                    </w:tc>
                    <w:tc>
                      <w:tcPr>
                        <w:tcW w:w="950" w:type="pct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91.63%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Pr="003E091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More Funds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7625" cy="85725"/>
                                <wp:effectExtent l="19050" t="0" r="9525" b="0"/>
                                <wp:docPr id="10" name="Picture 10" descr="http://images.bloomberg.com/r06/markets/gr_arrow.gif">
                                  <a:hlinkClick xmlns:a="http://schemas.openxmlformats.org/drawingml/2006/main" r:id="rId2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http://images.bloomberg.com/r06/markets/gr_arrow.gif">
                                          <a:hlinkClick r:id="rId2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HOW DO YOUR FUNDS RANK?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gridSpan w:val="3"/>
                        <w:vAlign w:val="bottom"/>
                        <w:hideMark/>
                      </w:tcPr>
                      <w:p w:rsidR="003E0911" w:rsidRPr="003E0911" w:rsidRDefault="003E0911" w:rsidP="003E0911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3E091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Top of Form</w:t>
                        </w:r>
                      </w:p>
                      <w:tbl>
                        <w:tblPr>
                          <w:tblW w:w="325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66"/>
                          <w:gridCol w:w="629"/>
                          <w:gridCol w:w="2038"/>
                        </w:tblGrid>
                        <w:tr w:rsidR="003E0911" w:rsidRPr="003E09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911" w:rsidRPr="003E0911" w:rsidRDefault="003E0911" w:rsidP="003E09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9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Enter Symbol:</w:t>
                              </w:r>
                              <w:r w:rsidRPr="003E09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5" type="#_x0000_t75" style="width:1in;height:18pt" o:ole="">
                                    <v:imagedata r:id="rId26" o:title=""/>
                                  </v:shape>
                                  <w:control r:id="rId27" w:name="DefaultOcxName8" w:shapeid="_x0000_i1075"/>
                                </w:object>
                              </w:r>
                              <w:r w:rsidRPr="003E09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4" type="#_x0000_t75" style="width:42pt;height:18pt" o:ole="">
                                    <v:imagedata r:id="rId28" o:title=""/>
                                  </v:shape>
                                  <w:control r:id="rId29" w:name="DefaultOcxName9" w:shapeid="_x0000_i107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911" w:rsidRPr="003E0911" w:rsidRDefault="003E0911" w:rsidP="003E09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9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3" type="#_x0000_t75" style="width:21pt;height:11.25pt" o:ole="">
                                    <v:imagedata r:id="rId30" o:title=""/>
                                  </v:shape>
                                  <w:control r:id="rId31" w:name="DefaultOcxName10" w:shapeid="_x0000_i107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911" w:rsidRPr="003E0911" w:rsidRDefault="003E0911" w:rsidP="003E091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Pr="003E091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Find Symbol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7625" cy="85725"/>
                                      <wp:effectExtent l="19050" t="0" r="9525" b="0"/>
                                      <wp:docPr id="11" name="Picture 11" descr="http://images.bloomberg.com/r06/markets/gr_arrow.gif">
                                        <a:hlinkClick xmlns:a="http://schemas.openxmlformats.org/drawingml/2006/main" r:id="rId3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http://images.bloomberg.com/r06/markets/gr_arrow.gif">
                                                <a:hlinkClick r:id="rId3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625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hyperlink>
                            </w:p>
                          </w:tc>
                        </w:tr>
                      </w:tbl>
                      <w:p w:rsidR="003E0911" w:rsidRPr="003E0911" w:rsidRDefault="003E0911" w:rsidP="003E0911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3E091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Bottom of Form</w:t>
                        </w:r>
                      </w:p>
                    </w:tc>
                  </w:tr>
                </w:tbl>
                <w:p w:rsidR="003E0911" w:rsidRPr="003E0911" w:rsidRDefault="003E0911" w:rsidP="003E0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0911" w:rsidRPr="003E0911" w:rsidRDefault="003E0911" w:rsidP="003E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2E1E8"/>
            <w:vAlign w:val="center"/>
            <w:hideMark/>
          </w:tcPr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2E1E8"/>
            <w:vAlign w:val="center"/>
            <w:hideMark/>
          </w:tcPr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911" w:rsidRPr="003E0911" w:rsidRDefault="003E0911" w:rsidP="003E0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D2E1E8"/>
        <w:tblCellMar>
          <w:left w:w="0" w:type="dxa"/>
          <w:right w:w="0" w:type="dxa"/>
        </w:tblCellMar>
        <w:tblLook w:val="04A0"/>
      </w:tblPr>
      <w:tblGrid>
        <w:gridCol w:w="9342"/>
        <w:gridCol w:w="9"/>
        <w:gridCol w:w="9"/>
      </w:tblGrid>
      <w:tr w:rsidR="003E0911" w:rsidRPr="003E0911">
        <w:trPr>
          <w:tblCellSpacing w:w="0" w:type="dxa"/>
        </w:trPr>
        <w:tc>
          <w:tcPr>
            <w:tcW w:w="0" w:type="auto"/>
            <w:gridSpan w:val="3"/>
            <w:shd w:val="clear" w:color="auto" w:fill="D2E1E8"/>
            <w:hideMark/>
          </w:tcPr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19050" t="0" r="0" b="0"/>
                  <wp:docPr id="12" name="Picture 12" descr="http://images.bloomberg.com/r06/markets/t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bloomberg.com/r06/markets/t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911" w:rsidRPr="003E0911" w:rsidRDefault="003E0911" w:rsidP="003E0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11">
              <w:rPr>
                <w:rFonts w:ascii="Times New Roman" w:eastAsia="Times New Roman" w:hAnsi="Times New Roman" w:cs="Times New Roman"/>
                <w:sz w:val="24"/>
                <w:szCs w:val="24"/>
              </w:rPr>
              <w:t>Commodities</w:t>
            </w: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19050" t="0" r="0" b="0"/>
                  <wp:docPr id="13" name="Picture 13" descr="http://images.bloomberg.com/r06/markets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bloomberg.com/r06/markets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11" w:rsidRPr="003E0911">
        <w:trPr>
          <w:tblCellSpacing w:w="0" w:type="dxa"/>
        </w:trPr>
        <w:tc>
          <w:tcPr>
            <w:tcW w:w="0" w:type="auto"/>
            <w:shd w:val="clear" w:color="auto" w:fill="D2E1E8"/>
            <w:vAlign w:val="center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68"/>
            </w:tblGrid>
            <w:tr w:rsidR="003E0911" w:rsidRPr="003E09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26"/>
                    <w:gridCol w:w="1441"/>
                    <w:gridCol w:w="1102"/>
                    <w:gridCol w:w="999"/>
                  </w:tblGrid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S&amp;P Goldman Sachs Commodity Index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368.65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-6.90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-1.84%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S&amp;P GSCI MOVERS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COMMODITY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PRICE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CHG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%CHG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LME COPPER FUTURE (USD/MT)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4278.750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154.250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3.74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LME PRI ALUM FUTR (USD/MT)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1448.000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50.500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3.61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LME NICKEL FUTURE (USD/MT)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10847.000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348.000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3.31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LME ZINC FUTURE (USD/MT)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1344.500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1E8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2.83</w:t>
                        </w:r>
                      </w:p>
                    </w:tc>
                  </w:tr>
                  <w:tr w:rsidR="003E0911" w:rsidRPr="003E091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LME LEAD FUTURE (USD/MT)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1310.000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0911" w:rsidRPr="003E0911" w:rsidRDefault="003E0911" w:rsidP="003E09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09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2.38</w:t>
                        </w:r>
                      </w:p>
                    </w:tc>
                  </w:tr>
                </w:tbl>
                <w:p w:rsidR="003E0911" w:rsidRPr="003E0911" w:rsidRDefault="003E0911" w:rsidP="003E0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0911" w:rsidRPr="003E0911" w:rsidRDefault="003E0911" w:rsidP="003E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2E1E8"/>
            <w:vAlign w:val="center"/>
            <w:hideMark/>
          </w:tcPr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2E1E8"/>
            <w:vAlign w:val="center"/>
            <w:hideMark/>
          </w:tcPr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911" w:rsidRPr="003E0911" w:rsidRDefault="003E0911" w:rsidP="003E0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01346B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3E0911" w:rsidRPr="003E0911" w:rsidTr="003E0911">
        <w:trPr>
          <w:tblCellSpacing w:w="0" w:type="dxa"/>
        </w:trPr>
        <w:tc>
          <w:tcPr>
            <w:tcW w:w="0" w:type="auto"/>
            <w:shd w:val="clear" w:color="auto" w:fill="01346B"/>
            <w:vAlign w:val="center"/>
            <w:hideMark/>
          </w:tcPr>
          <w:p w:rsidR="003E0911" w:rsidRPr="003E0911" w:rsidRDefault="003E0911" w:rsidP="003E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11">
              <w:rPr>
                <w:rFonts w:ascii="Times New Roman" w:eastAsia="Times New Roman" w:hAnsi="Times New Roman" w:cs="Times New Roman"/>
                <w:sz w:val="24"/>
                <w:szCs w:val="24"/>
              </w:rPr>
              <w:t>Unless indicated otherwise: intraday data is at least 15 minutes delayed; mutual fund NAVs are updated at the close of every market day; all prices are in the local currency; Time is ET.</w:t>
            </w:r>
          </w:p>
        </w:tc>
      </w:tr>
    </w:tbl>
    <w:p w:rsidR="00077F18" w:rsidRDefault="00077F18"/>
    <w:sectPr w:rsidR="00077F18" w:rsidSect="0007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911"/>
    <w:rsid w:val="00077F18"/>
    <w:rsid w:val="003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sstyle4">
    <w:name w:val="markets_style4"/>
    <w:basedOn w:val="DefaultParagraphFont"/>
    <w:rsid w:val="003E0911"/>
  </w:style>
  <w:style w:type="character" w:customStyle="1" w:styleId="marketsstyle5">
    <w:name w:val="markets_style5"/>
    <w:basedOn w:val="DefaultParagraphFont"/>
    <w:rsid w:val="003E0911"/>
  </w:style>
  <w:style w:type="character" w:customStyle="1" w:styleId="marketsstyle5down">
    <w:name w:val="markets_style5down"/>
    <w:basedOn w:val="DefaultParagraphFont"/>
    <w:rsid w:val="003E0911"/>
  </w:style>
  <w:style w:type="character" w:customStyle="1" w:styleId="marketsstyle5up">
    <w:name w:val="markets_style5up"/>
    <w:basedOn w:val="DefaultParagraphFont"/>
    <w:rsid w:val="003E091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91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091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0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0911"/>
    <w:rPr>
      <w:rFonts w:ascii="Arial" w:eastAsia="Times New Roman" w:hAnsi="Arial" w:cs="Arial"/>
      <w:vanish/>
      <w:sz w:val="16"/>
      <w:szCs w:val="16"/>
    </w:rPr>
  </w:style>
  <w:style w:type="character" w:customStyle="1" w:styleId="disclaimer">
    <w:name w:val="disclaimer"/>
    <w:basedOn w:val="DefaultParagraphFont"/>
    <w:rsid w:val="003E0911"/>
  </w:style>
  <w:style w:type="paragraph" w:styleId="BalloonText">
    <w:name w:val="Balloon Text"/>
    <w:basedOn w:val="Normal"/>
    <w:link w:val="BalloonTextChar"/>
    <w:uiPriority w:val="99"/>
    <w:semiHidden/>
    <w:unhideWhenUsed/>
    <w:rsid w:val="003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image" Target="media/image12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hyperlink" Target="http://www.bloomberg.com/markets/mutualfunds/index.html" TargetMode="External"/><Relationship Id="rId32" Type="http://schemas.openxmlformats.org/officeDocument/2006/relationships/hyperlink" Target="http://www.bloomberg.com/apps/data?pid=symsearch" TargetMode="External"/><Relationship Id="rId5" Type="http://schemas.openxmlformats.org/officeDocument/2006/relationships/image" Target="media/image2.gif"/><Relationship Id="rId15" Type="http://schemas.openxmlformats.org/officeDocument/2006/relationships/control" Target="activeX/activeX5.xml"/><Relationship Id="rId23" Type="http://schemas.openxmlformats.org/officeDocument/2006/relationships/image" Target="media/image11.gif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control" Target="activeX/activeX7.xml"/><Relationship Id="rId31" Type="http://schemas.openxmlformats.org/officeDocument/2006/relationships/control" Target="activeX/activeX11.xml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hyperlink" Target="http://www.bloomberg.com/markets/index.html?Intro=intro_markets#results" TargetMode="External"/><Relationship Id="rId27" Type="http://schemas.openxmlformats.org/officeDocument/2006/relationships/control" Target="activeX/activeX9.xml"/><Relationship Id="rId30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Company>Toshiba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LaSonya Brister</dc:creator>
  <cp:lastModifiedBy>LaSonya Brister</cp:lastModifiedBy>
  <cp:revision>1</cp:revision>
  <dcterms:created xsi:type="dcterms:W3CDTF">2009-04-06T21:46:00Z</dcterms:created>
  <dcterms:modified xsi:type="dcterms:W3CDTF">2009-04-06T21:48:00Z</dcterms:modified>
</cp:coreProperties>
</file>