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EE" w:rsidRDefault="00065EEE"/>
    <w:p w:rsidR="00EB0251" w:rsidRDefault="00EB0251" w:rsidP="00EB0251">
      <w:pPr>
        <w:pStyle w:val="UPhxNumberedList3"/>
        <w:numPr>
          <w:ilvl w:val="0"/>
          <w:numId w:val="0"/>
        </w:numPr>
        <w:ind w:left="1080" w:hanging="360"/>
      </w:pP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B0251" w:rsidRDefault="00EB0251" w:rsidP="00EB0251">
      <w:pPr>
        <w:pStyle w:val="UPhxNumberedList3"/>
        <w:numPr>
          <w:ilvl w:val="0"/>
          <w:numId w:val="0"/>
        </w:numPr>
        <w:ind w:left="1080" w:hanging="360"/>
      </w:pPr>
    </w:p>
    <w:p w:rsidR="00EB0251" w:rsidRDefault="00EB0251" w:rsidP="00EB0251">
      <w:pPr>
        <w:pStyle w:val="UPhxNumberedList3"/>
        <w:numPr>
          <w:ilvl w:val="0"/>
          <w:numId w:val="0"/>
        </w:numPr>
        <w:ind w:left="1080" w:hanging="360"/>
      </w:pPr>
    </w:p>
    <w:p w:rsidR="00EB0251" w:rsidRDefault="00EB0251" w:rsidP="00EB0251">
      <w:pPr>
        <w:pStyle w:val="UPhxNumberedList3"/>
        <w:numPr>
          <w:ilvl w:val="0"/>
          <w:numId w:val="0"/>
        </w:numPr>
        <w:ind w:left="1080" w:hanging="360"/>
      </w:pPr>
    </w:p>
    <w:p w:rsidR="00EB0251" w:rsidRPr="00EB0251" w:rsidRDefault="00A50B00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="00EB0251" w:rsidRPr="00EB0251">
        <w:rPr>
          <w:rFonts w:ascii="Times New Roman" w:hAnsi="Times New Roman" w:cs="Times New Roman"/>
          <w:color w:val="231F20"/>
          <w:sz w:val="24"/>
          <w:szCs w:val="24"/>
        </w:rPr>
        <w:t>Hachey Company has accounts receivable of $95,100 at March 31, 2007. An analysis of the accounts shows these amounts.</w:t>
      </w: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tbl>
      <w:tblPr>
        <w:tblW w:w="5200" w:type="dxa"/>
        <w:tblInd w:w="93" w:type="dxa"/>
        <w:tblLook w:val="04A0"/>
      </w:tblPr>
      <w:tblGrid>
        <w:gridCol w:w="2320"/>
        <w:gridCol w:w="960"/>
        <w:gridCol w:w="970"/>
        <w:gridCol w:w="960"/>
      </w:tblGrid>
      <w:tr w:rsidR="00EB0251" w:rsidRPr="00EB0251" w:rsidTr="00EB025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Balance, March 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Month of Sale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 xml:space="preserve">$65,000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 xml:space="preserve">$75,000 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12,600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8,000</w:t>
            </w:r>
          </w:p>
        </w:tc>
      </w:tr>
      <w:tr w:rsidR="00EB0251" w:rsidRPr="00EB0251" w:rsidTr="00EB0251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December and January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10,100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2,400</w:t>
            </w:r>
          </w:p>
        </w:tc>
      </w:tr>
      <w:tr w:rsidR="00EB0251" w:rsidRPr="00EB0251" w:rsidTr="00EB0251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November and 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1,100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 xml:space="preserve">$95,100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 xml:space="preserve">$86,500 </w:t>
            </w:r>
          </w:p>
        </w:tc>
      </w:tr>
    </w:tbl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0251">
        <w:rPr>
          <w:rFonts w:ascii="Times New Roman" w:hAnsi="Times New Roman" w:cs="Times New Roman"/>
          <w:color w:val="231F20"/>
          <w:sz w:val="24"/>
          <w:szCs w:val="24"/>
        </w:rPr>
        <w:t>Credit terms are 2/10, n/30. At March 31, 2007, there is a $2,200 credit balance in Allowance</w:t>
      </w: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0251">
        <w:rPr>
          <w:rFonts w:ascii="Times New Roman" w:hAnsi="Times New Roman" w:cs="Times New Roman"/>
          <w:color w:val="231F20"/>
          <w:sz w:val="24"/>
          <w:szCs w:val="24"/>
        </w:rPr>
        <w:t>for Doubtful Accounts prior to adjustment. The company uses the percentage of</w:t>
      </w: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0251">
        <w:rPr>
          <w:rFonts w:ascii="Times New Roman" w:hAnsi="Times New Roman" w:cs="Times New Roman"/>
          <w:color w:val="231F20"/>
          <w:sz w:val="24"/>
          <w:szCs w:val="24"/>
        </w:rPr>
        <w:t>receivables basis for estimating uncollectible accounts. The company’s estimates of bad</w:t>
      </w: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  <w:r w:rsidRPr="00EB0251">
        <w:rPr>
          <w:rFonts w:ascii="Times New Roman" w:hAnsi="Times New Roman"/>
          <w:color w:val="231F20"/>
          <w:sz w:val="24"/>
          <w:szCs w:val="24"/>
        </w:rPr>
        <w:t>debts are as shown on page 402.</w:t>
      </w:r>
    </w:p>
    <w:tbl>
      <w:tblPr>
        <w:tblW w:w="4340" w:type="dxa"/>
        <w:tblInd w:w="93" w:type="dxa"/>
        <w:tblLook w:val="04A0"/>
      </w:tblPr>
      <w:tblGrid>
        <w:gridCol w:w="2320"/>
        <w:gridCol w:w="2020"/>
      </w:tblGrid>
      <w:tr w:rsidR="00EB0251" w:rsidRPr="00EB0251" w:rsidTr="00EB0251">
        <w:trPr>
          <w:trHeight w:val="6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Age of Accounts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Estimated Percentage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Current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1–30 days past due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31–90 days past due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EB0251" w:rsidRPr="00EB0251" w:rsidTr="00EB025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Over 90 days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025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A50B00" w:rsidRPr="006740CA" w:rsidRDefault="00A50B00" w:rsidP="00A5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740CA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Instructions</w:t>
      </w:r>
    </w:p>
    <w:p w:rsidR="00EB0251" w:rsidRPr="00EB0251" w:rsidRDefault="00EB0251" w:rsidP="00EB0251">
      <w:pPr>
        <w:pStyle w:val="UPhxNumberedList3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</w:p>
    <w:p w:rsidR="00EB0251" w:rsidRPr="00EB0251" w:rsidRDefault="00A50B00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025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0251" w:rsidRPr="00EB0251">
        <w:rPr>
          <w:rFonts w:ascii="Times New Roman" w:hAnsi="Times New Roman" w:cs="Times New Roman"/>
          <w:color w:val="231F20"/>
          <w:sz w:val="24"/>
          <w:szCs w:val="24"/>
        </w:rPr>
        <w:t xml:space="preserve">(a) Determine the total estimated </w:t>
      </w:r>
      <w:proofErr w:type="spellStart"/>
      <w:r w:rsidR="00EB0251" w:rsidRPr="00EB0251">
        <w:rPr>
          <w:rFonts w:ascii="Times New Roman" w:hAnsi="Times New Roman" w:cs="Times New Roman"/>
          <w:color w:val="231F20"/>
          <w:sz w:val="24"/>
          <w:szCs w:val="24"/>
        </w:rPr>
        <w:t>uncollectibles</w:t>
      </w:r>
      <w:proofErr w:type="spellEnd"/>
      <w:r w:rsidR="00EB0251" w:rsidRPr="00EB025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B0251">
        <w:rPr>
          <w:rFonts w:ascii="Times New Roman" w:hAnsi="Times New Roman" w:cs="Times New Roman"/>
          <w:color w:val="231F20"/>
          <w:sz w:val="24"/>
          <w:szCs w:val="24"/>
        </w:rPr>
        <w:t>(b) Prepare the adjusting entry at March 31, 2007, to record bad debts expense.(c) Discuss the implications of the changes in the aging schedule from 2006 to 2007.</w:t>
      </w:r>
    </w:p>
    <w:p w:rsidR="00EB0251" w:rsidRDefault="00EB0251" w:rsidP="00EB0251">
      <w:pPr>
        <w:pStyle w:val="UPhxNumberedList3"/>
        <w:numPr>
          <w:ilvl w:val="0"/>
          <w:numId w:val="0"/>
        </w:numPr>
        <w:ind w:left="1080" w:hanging="360"/>
      </w:pPr>
    </w:p>
    <w:p w:rsidR="00EB0251" w:rsidRDefault="00EB0251" w:rsidP="00065EEE">
      <w:pPr>
        <w:pStyle w:val="UPhxBodyText2"/>
      </w:pPr>
    </w:p>
    <w:p w:rsidR="00EB0251" w:rsidRDefault="00EB0251" w:rsidP="00065EEE">
      <w:pPr>
        <w:pStyle w:val="UPhxBodyText2"/>
      </w:pPr>
    </w:p>
    <w:p w:rsidR="00EB0251" w:rsidRDefault="00EB0251" w:rsidP="00065EEE">
      <w:pPr>
        <w:pStyle w:val="UPhxBodyText2"/>
      </w:pPr>
    </w:p>
    <w:p w:rsidR="00EB0251" w:rsidRDefault="00EB0251" w:rsidP="00065EEE">
      <w:pPr>
        <w:pStyle w:val="UPhxBodyText2"/>
      </w:pPr>
    </w:p>
    <w:p w:rsidR="00EB0251" w:rsidRDefault="00EB0251" w:rsidP="00065EEE">
      <w:pPr>
        <w:pStyle w:val="UPhxBodyText2"/>
      </w:pPr>
    </w:p>
    <w:p w:rsidR="00EB0251" w:rsidRDefault="00EB0251" w:rsidP="00065EEE">
      <w:pPr>
        <w:pStyle w:val="UPhxBodyText2"/>
      </w:pPr>
    </w:p>
    <w:p w:rsidR="00EB0251" w:rsidRDefault="00EB0251" w:rsidP="00065EEE">
      <w:pPr>
        <w:pStyle w:val="UPhxBodyText2"/>
      </w:pPr>
    </w:p>
    <w:p w:rsidR="00EB0251" w:rsidRPr="00C6110B" w:rsidRDefault="00EB0251" w:rsidP="00065EEE">
      <w:pPr>
        <w:pStyle w:val="UPhxBodyText2"/>
        <w:rPr>
          <w:i/>
        </w:rPr>
      </w:pPr>
    </w:p>
    <w:p w:rsidR="00065EEE" w:rsidRDefault="00065EEE"/>
    <w:p w:rsidR="00EB0251" w:rsidRPr="00EB0251" w:rsidRDefault="00EB0251">
      <w:pPr>
        <w:rPr>
          <w:rFonts w:ascii="Times New Roman" w:hAnsi="Times New Roman" w:cs="Times New Roman"/>
          <w:sz w:val="24"/>
          <w:szCs w:val="24"/>
        </w:rPr>
      </w:pPr>
    </w:p>
    <w:p w:rsidR="00EB0251" w:rsidRPr="00EB0251" w:rsidRDefault="00A50B00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B0251" w:rsidRPr="00EB0251">
        <w:rPr>
          <w:rFonts w:ascii="Times New Roman" w:hAnsi="Times New Roman" w:cs="Times New Roman"/>
          <w:color w:val="000000"/>
          <w:sz w:val="24"/>
          <w:szCs w:val="24"/>
        </w:rPr>
        <w:t xml:space="preserve">For several years, a number of </w:t>
      </w:r>
      <w:r w:rsidR="00EB0251" w:rsidRPr="00EB02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Food Lion, Inc.</w:t>
      </w:r>
      <w:r w:rsidR="00EB0251" w:rsidRPr="00EB0251">
        <w:rPr>
          <w:rFonts w:ascii="Times New Roman" w:hAnsi="Times New Roman" w:cs="Times New Roman"/>
          <w:color w:val="000000"/>
          <w:sz w:val="24"/>
          <w:szCs w:val="24"/>
        </w:rPr>
        <w:t>, grocery stores were unprofitable. The company</w:t>
      </w:r>
      <w:r w:rsidR="00EB0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251" w:rsidRPr="00EB0251">
        <w:rPr>
          <w:rFonts w:ascii="Times New Roman" w:hAnsi="Times New Roman" w:cs="Times New Roman"/>
          <w:color w:val="000000"/>
          <w:sz w:val="24"/>
          <w:szCs w:val="24"/>
        </w:rPr>
        <w:t>closed, and continues to close, some of these locations. It is apparent that the company will not be</w:t>
      </w:r>
      <w:r w:rsidR="00EB0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251" w:rsidRPr="00EB0251">
        <w:rPr>
          <w:rFonts w:ascii="Times New Roman" w:hAnsi="Times New Roman" w:cs="Times New Roman"/>
          <w:color w:val="000000"/>
          <w:sz w:val="24"/>
          <w:szCs w:val="24"/>
        </w:rPr>
        <w:t>able to recover the cost of the assets associated with the closed stores. Thus, the current value of</w:t>
      </w:r>
      <w:r w:rsidR="00EB0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251" w:rsidRPr="00EB0251">
        <w:rPr>
          <w:rFonts w:ascii="Times New Roman" w:hAnsi="Times New Roman" w:cs="Times New Roman"/>
          <w:color w:val="000000"/>
          <w:sz w:val="24"/>
          <w:szCs w:val="24"/>
        </w:rPr>
        <w:t>these impair</w:t>
      </w:r>
      <w:r w:rsidR="00372A39">
        <w:rPr>
          <w:rFonts w:ascii="Times New Roman" w:hAnsi="Times New Roman" w:cs="Times New Roman"/>
          <w:color w:val="000000"/>
          <w:sz w:val="24"/>
          <w:szCs w:val="24"/>
        </w:rPr>
        <w:t>ed assets must be written down.</w:t>
      </w: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51">
        <w:rPr>
          <w:rFonts w:ascii="Times New Roman" w:hAnsi="Times New Roman" w:cs="Times New Roman"/>
          <w:color w:val="000000"/>
          <w:sz w:val="24"/>
          <w:szCs w:val="24"/>
        </w:rPr>
        <w:t xml:space="preserve">A recent </w:t>
      </w:r>
      <w:r w:rsidRPr="00EB02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Food Lion </w:t>
      </w:r>
      <w:r w:rsidRPr="00EB0251">
        <w:rPr>
          <w:rFonts w:ascii="Times New Roman" w:hAnsi="Times New Roman" w:cs="Times New Roman"/>
          <w:color w:val="000000"/>
          <w:sz w:val="24"/>
          <w:szCs w:val="24"/>
        </w:rPr>
        <w:t>income statement reports a $9.5 million charge against income pertaining</w:t>
      </w: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51">
        <w:rPr>
          <w:rFonts w:ascii="Times New Roman" w:hAnsi="Times New Roman" w:cs="Times New Roman"/>
          <w:color w:val="000000"/>
          <w:sz w:val="24"/>
          <w:szCs w:val="24"/>
        </w:rPr>
        <w:t>to the write-down of impaired assets.</w:t>
      </w: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EB0251">
        <w:rPr>
          <w:rFonts w:ascii="Times New Roman" w:hAnsi="Times New Roman" w:cs="Times New Roman"/>
          <w:color w:val="000000"/>
          <w:sz w:val="24"/>
          <w:szCs w:val="24"/>
        </w:rPr>
        <w:t xml:space="preserve">Explain why </w:t>
      </w:r>
      <w:r w:rsidRPr="00EB02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Food Lion </w:t>
      </w:r>
      <w:r w:rsidRPr="00EB0251">
        <w:rPr>
          <w:rFonts w:ascii="Times New Roman" w:hAnsi="Times New Roman" w:cs="Times New Roman"/>
          <w:color w:val="000000"/>
          <w:sz w:val="24"/>
          <w:szCs w:val="24"/>
        </w:rPr>
        <w:t>must write down the current carrying value of its unprofitable stores.</w:t>
      </w:r>
    </w:p>
    <w:p w:rsidR="00EB0251" w:rsidRPr="00EB0251" w:rsidRDefault="00EB0251" w:rsidP="00EB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EB0251">
        <w:rPr>
          <w:rFonts w:ascii="Times New Roman" w:hAnsi="Times New Roman" w:cs="Times New Roman"/>
          <w:color w:val="000000"/>
          <w:sz w:val="24"/>
          <w:szCs w:val="24"/>
        </w:rPr>
        <w:t>Explain why the recent $9.5 million charge to write down these impaired assets is considered</w:t>
      </w:r>
    </w:p>
    <w:p w:rsidR="00EB0251" w:rsidRPr="00EB0251" w:rsidRDefault="00EB0251" w:rsidP="00EB0251">
      <w:pPr>
        <w:rPr>
          <w:rFonts w:ascii="Times New Roman" w:hAnsi="Times New Roman" w:cs="Times New Roman"/>
          <w:sz w:val="24"/>
          <w:szCs w:val="24"/>
        </w:rPr>
      </w:pPr>
      <w:r w:rsidRPr="00EB0251">
        <w:rPr>
          <w:rFonts w:ascii="Times New Roman" w:hAnsi="Times New Roman" w:cs="Times New Roman"/>
          <w:color w:val="000000"/>
          <w:sz w:val="24"/>
          <w:szCs w:val="24"/>
        </w:rPr>
        <w:t>a noncash expense.</w:t>
      </w:r>
    </w:p>
    <w:p w:rsidR="00EB0251" w:rsidRPr="00EB0251" w:rsidRDefault="00EB0251">
      <w:pPr>
        <w:rPr>
          <w:rFonts w:ascii="Times New Roman" w:hAnsi="Times New Roman" w:cs="Times New Roman"/>
          <w:sz w:val="24"/>
          <w:szCs w:val="24"/>
        </w:rPr>
      </w:pPr>
    </w:p>
    <w:p w:rsidR="00A50B00" w:rsidRDefault="00A50B00"/>
    <w:sectPr w:rsidR="00A50B00" w:rsidSect="00FD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1CFA"/>
    <w:multiLevelType w:val="hybridMultilevel"/>
    <w:tmpl w:val="A100FC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FF5D37"/>
    <w:multiLevelType w:val="hybridMultilevel"/>
    <w:tmpl w:val="F160AC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35E736B"/>
    <w:multiLevelType w:val="multilevel"/>
    <w:tmpl w:val="4AD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5EEE"/>
    <w:rsid w:val="00057C08"/>
    <w:rsid w:val="00065EEE"/>
    <w:rsid w:val="00372A39"/>
    <w:rsid w:val="008405A0"/>
    <w:rsid w:val="00856EE9"/>
    <w:rsid w:val="00A50B00"/>
    <w:rsid w:val="00D62D8C"/>
    <w:rsid w:val="00DB7E4C"/>
    <w:rsid w:val="00EB0251"/>
    <w:rsid w:val="00F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065EEE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065EEE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065EEE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065EEE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065EEE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065EEE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065EEE"/>
    <w:pPr>
      <w:numPr>
        <w:ilvl w:val="6"/>
      </w:numPr>
      <w:tabs>
        <w:tab w:val="left" w:pos="2160"/>
      </w:tabs>
    </w:pPr>
  </w:style>
  <w:style w:type="paragraph" w:customStyle="1" w:styleId="UPhxBodyText2">
    <w:name w:val="UPhx Body Text 2"/>
    <w:basedOn w:val="Normal"/>
    <w:rsid w:val="00065EEE"/>
    <w:pPr>
      <w:spacing w:before="60" w:after="60" w:line="240" w:lineRule="auto"/>
      <w:ind w:left="36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Uorice R. De Cohen</dc:creator>
  <cp:lastModifiedBy>Uorice R. De Cohen</cp:lastModifiedBy>
  <cp:revision>4</cp:revision>
  <dcterms:created xsi:type="dcterms:W3CDTF">2008-09-20T06:39:00Z</dcterms:created>
  <dcterms:modified xsi:type="dcterms:W3CDTF">2008-09-21T12:44:00Z</dcterms:modified>
</cp:coreProperties>
</file>