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56" w:rsidRPr="00B468DD" w:rsidRDefault="00BC4D56" w:rsidP="00BC4D56">
      <w:pPr>
        <w:shd w:val="clear" w:color="auto" w:fill="FFFFFF"/>
        <w:spacing w:after="24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t>Fuchs Corporation uses the weighted-average method in its process costing system. This month, the beginning inventory in the first processing department consisted of 500 units. The costs and percentage completion of these units in beginning inventory were:</w:t>
      </w:r>
    </w:p>
    <w:tbl>
      <w:tblPr>
        <w:tblW w:w="5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76"/>
        <w:gridCol w:w="848"/>
        <w:gridCol w:w="2026"/>
      </w:tblGrid>
      <w:tr w:rsidR="00BC4D56" w:rsidRPr="00B468DD" w:rsidTr="00C3140F">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C4D56" w:rsidRPr="00B468DD" w:rsidRDefault="00BC4D56" w:rsidP="00C3140F">
            <w:pPr>
              <w:spacing w:after="15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C4D56" w:rsidRPr="00B468DD" w:rsidRDefault="00BC4D56" w:rsidP="00C3140F">
            <w:pPr>
              <w:spacing w:after="0" w:line="240" w:lineRule="auto"/>
              <w:jc w:val="center"/>
              <w:rPr>
                <w:rFonts w:ascii="Arial" w:eastAsia="Times New Roman" w:hAnsi="Arial" w:cs="Arial"/>
                <w:color w:val="000000"/>
                <w:sz w:val="18"/>
                <w:szCs w:val="18"/>
              </w:rPr>
            </w:pPr>
            <w:r w:rsidRPr="00B468DD">
              <w:rPr>
                <w:rFonts w:ascii="Arial" w:eastAsia="Times New Roman" w:hAnsi="Arial" w:cs="Arial"/>
                <w:color w:val="000000"/>
                <w:sz w:val="18"/>
                <w:szCs w:val="18"/>
              </w:rPr>
              <w:t>Cost</w:t>
            </w:r>
          </w:p>
        </w:tc>
        <w:tc>
          <w:tcPr>
            <w:tcW w:w="0" w:type="auto"/>
            <w:tcBorders>
              <w:top w:val="outset" w:sz="6" w:space="0" w:color="auto"/>
              <w:left w:val="outset" w:sz="6" w:space="0" w:color="auto"/>
              <w:bottom w:val="outset" w:sz="6" w:space="0" w:color="auto"/>
              <w:right w:val="outset" w:sz="6" w:space="0" w:color="auto"/>
            </w:tcBorders>
            <w:vAlign w:val="bottom"/>
            <w:hideMark/>
          </w:tcPr>
          <w:p w:rsidR="00BC4D56" w:rsidRPr="00B468DD" w:rsidRDefault="00BC4D56" w:rsidP="00C3140F">
            <w:pPr>
              <w:spacing w:after="0" w:line="240" w:lineRule="auto"/>
              <w:jc w:val="center"/>
              <w:rPr>
                <w:rFonts w:ascii="Arial" w:eastAsia="Times New Roman" w:hAnsi="Arial" w:cs="Arial"/>
                <w:color w:val="000000"/>
                <w:sz w:val="18"/>
                <w:szCs w:val="18"/>
              </w:rPr>
            </w:pPr>
            <w:r w:rsidRPr="00B468DD">
              <w:rPr>
                <w:rFonts w:ascii="Arial" w:eastAsia="Times New Roman" w:hAnsi="Arial" w:cs="Arial"/>
                <w:color w:val="000000"/>
                <w:sz w:val="18"/>
                <w:szCs w:val="18"/>
              </w:rPr>
              <w:t>Percent Complete</w:t>
            </w:r>
          </w:p>
        </w:tc>
      </w:tr>
      <w:tr w:rsidR="00BC4D56" w:rsidRPr="00B468DD" w:rsidTr="00C3140F">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C4D56" w:rsidRPr="00B468DD" w:rsidRDefault="00BC4D56" w:rsidP="00C3140F">
            <w:pPr>
              <w:spacing w:after="15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t>Materials costs</w:t>
            </w:r>
            <w:r w:rsidRPr="00B468DD">
              <w:rPr>
                <w:rFonts w:ascii="Courier" w:eastAsia="Times New Roman" w:hAnsi="Courier"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C4D56" w:rsidRPr="00B468DD" w:rsidRDefault="00BC4D56" w:rsidP="00C3140F">
            <w:pPr>
              <w:spacing w:after="0" w:line="240" w:lineRule="auto"/>
              <w:jc w:val="center"/>
              <w:rPr>
                <w:rFonts w:ascii="Arial" w:eastAsia="Times New Roman" w:hAnsi="Arial" w:cs="Arial"/>
                <w:color w:val="000000"/>
                <w:sz w:val="18"/>
                <w:szCs w:val="18"/>
              </w:rPr>
            </w:pPr>
            <w:r w:rsidRPr="00B468DD">
              <w:rPr>
                <w:rFonts w:ascii="Arial" w:eastAsia="Times New Roman" w:hAnsi="Arial" w:cs="Arial"/>
                <w:color w:val="000000"/>
                <w:sz w:val="18"/>
                <w:szCs w:val="18"/>
              </w:rPr>
              <w:t>$4,200</w:t>
            </w:r>
          </w:p>
        </w:tc>
        <w:tc>
          <w:tcPr>
            <w:tcW w:w="0" w:type="auto"/>
            <w:tcBorders>
              <w:top w:val="outset" w:sz="6" w:space="0" w:color="auto"/>
              <w:left w:val="outset" w:sz="6" w:space="0" w:color="auto"/>
              <w:bottom w:val="outset" w:sz="6" w:space="0" w:color="auto"/>
              <w:right w:val="outset" w:sz="6" w:space="0" w:color="auto"/>
            </w:tcBorders>
            <w:vAlign w:val="bottom"/>
            <w:hideMark/>
          </w:tcPr>
          <w:p w:rsidR="00BC4D56" w:rsidRPr="00B468DD" w:rsidRDefault="00BC4D56" w:rsidP="00C3140F">
            <w:pPr>
              <w:spacing w:after="0" w:line="240" w:lineRule="auto"/>
              <w:jc w:val="center"/>
              <w:rPr>
                <w:rFonts w:ascii="Arial" w:eastAsia="Times New Roman" w:hAnsi="Arial" w:cs="Arial"/>
                <w:color w:val="000000"/>
                <w:sz w:val="18"/>
                <w:szCs w:val="18"/>
              </w:rPr>
            </w:pPr>
            <w:r w:rsidRPr="00B468DD">
              <w:rPr>
                <w:rFonts w:ascii="Arial" w:eastAsia="Times New Roman" w:hAnsi="Arial" w:cs="Arial"/>
                <w:color w:val="000000"/>
                <w:sz w:val="18"/>
                <w:szCs w:val="18"/>
              </w:rPr>
              <w:t>60%</w:t>
            </w:r>
          </w:p>
        </w:tc>
      </w:tr>
      <w:tr w:rsidR="00BC4D56" w:rsidRPr="00B468DD" w:rsidTr="00C3140F">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C4D56" w:rsidRPr="00B468DD" w:rsidRDefault="00BC4D56" w:rsidP="00C3140F">
            <w:pPr>
              <w:spacing w:after="15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t>Conversion costs</w:t>
            </w:r>
            <w:r w:rsidRPr="00B468DD">
              <w:rPr>
                <w:rFonts w:ascii="Courier" w:eastAsia="Times New Roman" w:hAnsi="Courier"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C4D56" w:rsidRPr="00B468DD" w:rsidRDefault="00BC4D56" w:rsidP="00C3140F">
            <w:pPr>
              <w:spacing w:after="0" w:line="240" w:lineRule="auto"/>
              <w:jc w:val="center"/>
              <w:rPr>
                <w:rFonts w:ascii="Arial" w:eastAsia="Times New Roman" w:hAnsi="Arial" w:cs="Arial"/>
                <w:color w:val="000000"/>
                <w:sz w:val="18"/>
                <w:szCs w:val="18"/>
              </w:rPr>
            </w:pPr>
            <w:r w:rsidRPr="00B468DD">
              <w:rPr>
                <w:rFonts w:ascii="Arial" w:eastAsia="Times New Roman" w:hAnsi="Arial" w:cs="Arial"/>
                <w:color w:val="000000"/>
                <w:sz w:val="18"/>
                <w:szCs w:val="18"/>
              </w:rPr>
              <w:t>$5,900</w:t>
            </w:r>
          </w:p>
        </w:tc>
        <w:tc>
          <w:tcPr>
            <w:tcW w:w="0" w:type="auto"/>
            <w:tcBorders>
              <w:top w:val="outset" w:sz="6" w:space="0" w:color="auto"/>
              <w:left w:val="outset" w:sz="6" w:space="0" w:color="auto"/>
              <w:bottom w:val="outset" w:sz="6" w:space="0" w:color="auto"/>
              <w:right w:val="outset" w:sz="6" w:space="0" w:color="auto"/>
            </w:tcBorders>
            <w:vAlign w:val="bottom"/>
            <w:hideMark/>
          </w:tcPr>
          <w:p w:rsidR="00BC4D56" w:rsidRPr="00B468DD" w:rsidRDefault="00BC4D56" w:rsidP="00C3140F">
            <w:pPr>
              <w:spacing w:after="0" w:line="240" w:lineRule="auto"/>
              <w:jc w:val="center"/>
              <w:rPr>
                <w:rFonts w:ascii="Arial" w:eastAsia="Times New Roman" w:hAnsi="Arial" w:cs="Arial"/>
                <w:color w:val="000000"/>
                <w:sz w:val="18"/>
                <w:szCs w:val="18"/>
              </w:rPr>
            </w:pPr>
            <w:r w:rsidRPr="00B468DD">
              <w:rPr>
                <w:rFonts w:ascii="Arial" w:eastAsia="Times New Roman" w:hAnsi="Arial" w:cs="Arial"/>
                <w:color w:val="000000"/>
                <w:sz w:val="18"/>
                <w:szCs w:val="18"/>
              </w:rPr>
              <w:t>55%</w:t>
            </w:r>
          </w:p>
        </w:tc>
      </w:tr>
    </w:tbl>
    <w:p w:rsidR="00BC4D56" w:rsidRPr="00B468DD" w:rsidRDefault="00BC4D56" w:rsidP="00BC4D56">
      <w:pPr>
        <w:shd w:val="clear" w:color="auto" w:fill="FFFFFF"/>
        <w:spacing w:after="0" w:line="240" w:lineRule="auto"/>
        <w:rPr>
          <w:rFonts w:ascii="Arial" w:eastAsia="Times New Roman" w:hAnsi="Arial" w:cs="Arial"/>
          <w:color w:val="000000"/>
          <w:sz w:val="18"/>
          <w:szCs w:val="18"/>
        </w:rPr>
      </w:pPr>
    </w:p>
    <w:p w:rsidR="00BC4D56" w:rsidRPr="00B468DD" w:rsidRDefault="00BC4D56" w:rsidP="00BC4D56">
      <w:pPr>
        <w:shd w:val="clear" w:color="auto" w:fill="FFFFFF"/>
        <w:spacing w:after="24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t>A total of 9,400 units were started and 8,800 units were transferred to the second processing department during the month. The following costs were incurred in the first processing department during the month:</w:t>
      </w:r>
    </w:p>
    <w:tbl>
      <w:tblPr>
        <w:tblW w:w="37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54"/>
        <w:gridCol w:w="1196"/>
      </w:tblGrid>
      <w:tr w:rsidR="00BC4D56" w:rsidRPr="00B468DD" w:rsidTr="00C3140F">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C4D56" w:rsidRPr="00B468DD" w:rsidRDefault="00BC4D56" w:rsidP="00C3140F">
            <w:pPr>
              <w:spacing w:after="15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t>Materials costs</w:t>
            </w:r>
            <w:r w:rsidRPr="00B468DD">
              <w:rPr>
                <w:rFonts w:ascii="Courier" w:eastAsia="Times New Roman" w:hAnsi="Courier"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C4D56" w:rsidRPr="00B468DD" w:rsidRDefault="00BC4D56" w:rsidP="00C3140F">
            <w:pPr>
              <w:spacing w:after="0" w:line="240" w:lineRule="auto"/>
              <w:jc w:val="right"/>
              <w:rPr>
                <w:rFonts w:ascii="Arial" w:eastAsia="Times New Roman" w:hAnsi="Arial" w:cs="Arial"/>
                <w:color w:val="000000"/>
                <w:sz w:val="18"/>
                <w:szCs w:val="18"/>
              </w:rPr>
            </w:pPr>
            <w:r w:rsidRPr="00B468DD">
              <w:rPr>
                <w:rFonts w:ascii="Arial" w:eastAsia="Times New Roman" w:hAnsi="Arial" w:cs="Arial"/>
                <w:color w:val="000000"/>
                <w:sz w:val="18"/>
                <w:szCs w:val="18"/>
              </w:rPr>
              <w:t>$205,856</w:t>
            </w:r>
          </w:p>
        </w:tc>
      </w:tr>
      <w:tr w:rsidR="00BC4D56" w:rsidRPr="00B468DD" w:rsidTr="00C3140F">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C4D56" w:rsidRPr="00B468DD" w:rsidRDefault="00BC4D56" w:rsidP="00C3140F">
            <w:pPr>
              <w:spacing w:after="15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t>Conversion costs</w:t>
            </w:r>
            <w:r w:rsidRPr="00B468DD">
              <w:rPr>
                <w:rFonts w:ascii="Courier" w:eastAsia="Times New Roman" w:hAnsi="Courier"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C4D56" w:rsidRPr="00B468DD" w:rsidRDefault="00BC4D56" w:rsidP="00C3140F">
            <w:pPr>
              <w:spacing w:after="0" w:line="240" w:lineRule="auto"/>
              <w:jc w:val="right"/>
              <w:rPr>
                <w:rFonts w:ascii="Arial" w:eastAsia="Times New Roman" w:hAnsi="Arial" w:cs="Arial"/>
                <w:color w:val="000000"/>
                <w:sz w:val="18"/>
                <w:szCs w:val="18"/>
              </w:rPr>
            </w:pPr>
            <w:r w:rsidRPr="00B468DD">
              <w:rPr>
                <w:rFonts w:ascii="Arial" w:eastAsia="Times New Roman" w:hAnsi="Arial" w:cs="Arial"/>
                <w:color w:val="000000"/>
                <w:sz w:val="18"/>
                <w:szCs w:val="18"/>
              </w:rPr>
              <w:t>$290,858</w:t>
            </w:r>
          </w:p>
        </w:tc>
      </w:tr>
    </w:tbl>
    <w:p w:rsidR="00BC4D56" w:rsidRPr="00B468DD" w:rsidRDefault="00BC4D56" w:rsidP="00BC4D56">
      <w:pPr>
        <w:shd w:val="clear" w:color="auto" w:fill="FFFFFF"/>
        <w:spacing w:after="0" w:line="240" w:lineRule="auto"/>
        <w:rPr>
          <w:rFonts w:ascii="Arial" w:eastAsia="Times New Roman" w:hAnsi="Arial" w:cs="Arial"/>
          <w:color w:val="000000"/>
          <w:sz w:val="18"/>
          <w:szCs w:val="18"/>
        </w:rPr>
      </w:pPr>
    </w:p>
    <w:p w:rsidR="00BC4D56" w:rsidRPr="00B468DD" w:rsidRDefault="00BC4D56" w:rsidP="00BC4D56">
      <w:pPr>
        <w:shd w:val="clear" w:color="auto" w:fill="FFFFFF"/>
        <w:spacing w:after="24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t>The ending inventory was 80% complete with respect to materials and 20% complete with respect to conversion costs.</w:t>
      </w:r>
    </w:p>
    <w:p w:rsidR="00BC4D56" w:rsidRPr="00B468DD" w:rsidRDefault="00BC4D56" w:rsidP="00BC4D56">
      <w:pPr>
        <w:shd w:val="clear" w:color="auto" w:fill="FFFFFF"/>
        <w:spacing w:after="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t>The cost of ending work in process inventory in the first processing department according to the company's cost system is closest to:</w:t>
      </w:r>
    </w:p>
    <w:p w:rsidR="00BC4D56" w:rsidRPr="00B468DD" w:rsidRDefault="00BC4D56" w:rsidP="00BC4D56">
      <w:pPr>
        <w:shd w:val="clear" w:color="auto" w:fill="FFFFFF"/>
        <w:spacing w:after="15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br/>
      </w:r>
      <w:r w:rsidRPr="00B468DD">
        <w:rPr>
          <w:rFonts w:ascii="Arial" w:eastAsia="Times New Roman" w:hAnsi="Arial" w:cs="Arial"/>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4" o:title=""/>
          </v:shape>
          <w:control r:id="rId5" w:name="DefaultOcxName" w:shapeid="_x0000_i1039"/>
        </w:object>
      </w:r>
    </w:p>
    <w:tbl>
      <w:tblPr>
        <w:tblW w:w="0" w:type="auto"/>
        <w:tblCellSpacing w:w="37" w:type="dxa"/>
        <w:tblCellMar>
          <w:top w:w="15" w:type="dxa"/>
          <w:left w:w="15" w:type="dxa"/>
          <w:bottom w:w="15" w:type="dxa"/>
          <w:right w:w="15" w:type="dxa"/>
        </w:tblCellMar>
        <w:tblLook w:val="04A0"/>
      </w:tblPr>
      <w:tblGrid>
        <w:gridCol w:w="261"/>
        <w:gridCol w:w="509"/>
        <w:gridCol w:w="149"/>
        <w:gridCol w:w="792"/>
      </w:tblGrid>
      <w:tr w:rsidR="00BC4D56" w:rsidRPr="00B468DD" w:rsidTr="00C3140F">
        <w:trPr>
          <w:tblCellSpacing w:w="37" w:type="dxa"/>
        </w:trPr>
        <w:tc>
          <w:tcPr>
            <w:tcW w:w="150" w:type="dxa"/>
            <w:vAlign w:val="center"/>
            <w:hideMark/>
          </w:tcPr>
          <w:p w:rsidR="00BC4D56" w:rsidRPr="00B468DD" w:rsidRDefault="00BC4D56" w:rsidP="00C3140F">
            <w:pPr>
              <w:spacing w:after="0" w:line="240" w:lineRule="auto"/>
              <w:rPr>
                <w:rFonts w:ascii="Arial" w:eastAsia="Times New Roman" w:hAnsi="Arial" w:cs="Arial"/>
                <w:color w:val="000000"/>
                <w:sz w:val="18"/>
                <w:szCs w:val="18"/>
              </w:rPr>
            </w:pPr>
          </w:p>
        </w:tc>
        <w:tc>
          <w:tcPr>
            <w:tcW w:w="0" w:type="auto"/>
            <w:vAlign w:val="center"/>
            <w:hideMark/>
          </w:tcPr>
          <w:p w:rsidR="00BC4D56" w:rsidRPr="00B468DD" w:rsidRDefault="00BC4D56" w:rsidP="00C3140F">
            <w:pPr>
              <w:spacing w:after="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object w:dxaOrig="1440" w:dyaOrig="1440">
                <v:shape id="_x0000_i1038" type="#_x0000_t75" style="width:20.25pt;height:18pt" o:ole="">
                  <v:imagedata r:id="rId6" o:title=""/>
                </v:shape>
                <w:control r:id="rId7" w:name="DefaultOcxName1" w:shapeid="_x0000_i1038"/>
              </w:object>
            </w:r>
          </w:p>
        </w:tc>
        <w:tc>
          <w:tcPr>
            <w:tcW w:w="75" w:type="dxa"/>
            <w:vAlign w:val="center"/>
            <w:hideMark/>
          </w:tcPr>
          <w:p w:rsidR="00BC4D56" w:rsidRPr="00B468DD" w:rsidRDefault="00BC4D56" w:rsidP="00C3140F">
            <w:pPr>
              <w:spacing w:after="0" w:line="240" w:lineRule="auto"/>
              <w:rPr>
                <w:rFonts w:ascii="Arial" w:eastAsia="Times New Roman" w:hAnsi="Arial" w:cs="Arial"/>
                <w:color w:val="000000"/>
                <w:sz w:val="18"/>
                <w:szCs w:val="18"/>
              </w:rPr>
            </w:pPr>
          </w:p>
        </w:tc>
        <w:tc>
          <w:tcPr>
            <w:tcW w:w="0" w:type="auto"/>
            <w:vAlign w:val="center"/>
            <w:hideMark/>
          </w:tcPr>
          <w:p w:rsidR="00BC4D56" w:rsidRPr="00B468DD" w:rsidRDefault="00BC4D56" w:rsidP="00C3140F">
            <w:pPr>
              <w:spacing w:after="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t>$24,584</w:t>
            </w:r>
          </w:p>
        </w:tc>
      </w:tr>
      <w:tr w:rsidR="00BC4D56" w:rsidRPr="00B468DD" w:rsidTr="00C3140F">
        <w:trPr>
          <w:tblCellSpacing w:w="37" w:type="dxa"/>
        </w:trPr>
        <w:tc>
          <w:tcPr>
            <w:tcW w:w="150" w:type="dxa"/>
            <w:vAlign w:val="center"/>
            <w:hideMark/>
          </w:tcPr>
          <w:p w:rsidR="00BC4D56" w:rsidRPr="00B468DD" w:rsidRDefault="00BC4D56" w:rsidP="00C3140F">
            <w:pPr>
              <w:spacing w:after="0" w:line="240" w:lineRule="auto"/>
              <w:rPr>
                <w:rFonts w:ascii="Arial" w:eastAsia="Times New Roman" w:hAnsi="Arial" w:cs="Arial"/>
                <w:color w:val="000000"/>
                <w:sz w:val="18"/>
                <w:szCs w:val="18"/>
              </w:rPr>
            </w:pPr>
          </w:p>
        </w:tc>
        <w:tc>
          <w:tcPr>
            <w:tcW w:w="0" w:type="auto"/>
            <w:vAlign w:val="center"/>
            <w:hideMark/>
          </w:tcPr>
          <w:p w:rsidR="00BC4D56" w:rsidRPr="00B468DD" w:rsidRDefault="00BC4D56" w:rsidP="00C3140F">
            <w:pPr>
              <w:spacing w:after="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object w:dxaOrig="1440" w:dyaOrig="1440">
                <v:shape id="_x0000_i1037" type="#_x0000_t75" style="width:20.25pt;height:18pt" o:ole="">
                  <v:imagedata r:id="rId6" o:title=""/>
                </v:shape>
                <w:control r:id="rId8" w:name="DefaultOcxName2" w:shapeid="_x0000_i1037"/>
              </w:object>
            </w:r>
          </w:p>
        </w:tc>
        <w:tc>
          <w:tcPr>
            <w:tcW w:w="75" w:type="dxa"/>
            <w:vAlign w:val="center"/>
            <w:hideMark/>
          </w:tcPr>
          <w:p w:rsidR="00BC4D56" w:rsidRPr="00B468DD" w:rsidRDefault="00BC4D56" w:rsidP="00C3140F">
            <w:pPr>
              <w:spacing w:after="0" w:line="240" w:lineRule="auto"/>
              <w:rPr>
                <w:rFonts w:ascii="Arial" w:eastAsia="Times New Roman" w:hAnsi="Arial" w:cs="Arial"/>
                <w:color w:val="000000"/>
                <w:sz w:val="18"/>
                <w:szCs w:val="18"/>
              </w:rPr>
            </w:pPr>
          </w:p>
        </w:tc>
        <w:tc>
          <w:tcPr>
            <w:tcW w:w="0" w:type="auto"/>
            <w:vAlign w:val="center"/>
            <w:hideMark/>
          </w:tcPr>
          <w:p w:rsidR="00BC4D56" w:rsidRPr="00B468DD" w:rsidRDefault="00BC4D56" w:rsidP="00C3140F">
            <w:pPr>
              <w:spacing w:after="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t>$28,484</w:t>
            </w:r>
          </w:p>
        </w:tc>
      </w:tr>
      <w:tr w:rsidR="00BC4D56" w:rsidRPr="00B468DD" w:rsidTr="00C3140F">
        <w:trPr>
          <w:tblCellSpacing w:w="37" w:type="dxa"/>
        </w:trPr>
        <w:tc>
          <w:tcPr>
            <w:tcW w:w="150" w:type="dxa"/>
            <w:vAlign w:val="center"/>
            <w:hideMark/>
          </w:tcPr>
          <w:p w:rsidR="00BC4D56" w:rsidRPr="00B468DD" w:rsidRDefault="00BC4D56" w:rsidP="00C3140F">
            <w:pPr>
              <w:spacing w:after="0" w:line="240" w:lineRule="auto"/>
              <w:rPr>
                <w:rFonts w:ascii="Arial" w:eastAsia="Times New Roman" w:hAnsi="Arial" w:cs="Arial"/>
                <w:color w:val="000000"/>
                <w:sz w:val="18"/>
                <w:szCs w:val="18"/>
              </w:rPr>
            </w:pPr>
          </w:p>
        </w:tc>
        <w:tc>
          <w:tcPr>
            <w:tcW w:w="0" w:type="auto"/>
            <w:vAlign w:val="center"/>
            <w:hideMark/>
          </w:tcPr>
          <w:p w:rsidR="00BC4D56" w:rsidRPr="00B468DD" w:rsidRDefault="00BC4D56" w:rsidP="00C3140F">
            <w:pPr>
              <w:spacing w:after="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object w:dxaOrig="1440" w:dyaOrig="1440">
                <v:shape id="_x0000_i1036" type="#_x0000_t75" style="width:20.25pt;height:18pt" o:ole="">
                  <v:imagedata r:id="rId6" o:title=""/>
                </v:shape>
                <w:control r:id="rId9" w:name="DefaultOcxName3" w:shapeid="_x0000_i1036"/>
              </w:object>
            </w:r>
          </w:p>
        </w:tc>
        <w:tc>
          <w:tcPr>
            <w:tcW w:w="75" w:type="dxa"/>
            <w:vAlign w:val="center"/>
            <w:hideMark/>
          </w:tcPr>
          <w:p w:rsidR="00BC4D56" w:rsidRPr="00B468DD" w:rsidRDefault="00BC4D56" w:rsidP="00C3140F">
            <w:pPr>
              <w:spacing w:after="0" w:line="240" w:lineRule="auto"/>
              <w:rPr>
                <w:rFonts w:ascii="Arial" w:eastAsia="Times New Roman" w:hAnsi="Arial" w:cs="Arial"/>
                <w:color w:val="000000"/>
                <w:sz w:val="18"/>
                <w:szCs w:val="18"/>
              </w:rPr>
            </w:pPr>
          </w:p>
        </w:tc>
        <w:tc>
          <w:tcPr>
            <w:tcW w:w="0" w:type="auto"/>
            <w:vAlign w:val="center"/>
            <w:hideMark/>
          </w:tcPr>
          <w:p w:rsidR="00BC4D56" w:rsidRPr="00B468DD" w:rsidRDefault="00BC4D56" w:rsidP="00C3140F">
            <w:pPr>
              <w:spacing w:after="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t>$27,884</w:t>
            </w:r>
          </w:p>
        </w:tc>
      </w:tr>
      <w:tr w:rsidR="00BC4D56" w:rsidRPr="00B468DD" w:rsidTr="00C3140F">
        <w:trPr>
          <w:tblCellSpacing w:w="37" w:type="dxa"/>
        </w:trPr>
        <w:tc>
          <w:tcPr>
            <w:tcW w:w="150" w:type="dxa"/>
            <w:vAlign w:val="center"/>
            <w:hideMark/>
          </w:tcPr>
          <w:p w:rsidR="00BC4D56" w:rsidRPr="00B468DD" w:rsidRDefault="00BC4D56" w:rsidP="00C3140F">
            <w:pPr>
              <w:spacing w:after="0" w:line="240" w:lineRule="auto"/>
              <w:rPr>
                <w:rFonts w:ascii="Arial" w:eastAsia="Times New Roman" w:hAnsi="Arial" w:cs="Arial"/>
                <w:color w:val="000000"/>
                <w:sz w:val="18"/>
                <w:szCs w:val="18"/>
              </w:rPr>
            </w:pPr>
          </w:p>
        </w:tc>
        <w:tc>
          <w:tcPr>
            <w:tcW w:w="0" w:type="auto"/>
            <w:vAlign w:val="center"/>
            <w:hideMark/>
          </w:tcPr>
          <w:p w:rsidR="00BC4D56" w:rsidRPr="00B468DD" w:rsidRDefault="00BC4D56" w:rsidP="00C3140F">
            <w:pPr>
              <w:spacing w:after="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object w:dxaOrig="1440" w:dyaOrig="1440">
                <v:shape id="_x0000_i1035" type="#_x0000_t75" style="width:20.25pt;height:18pt" o:ole="">
                  <v:imagedata r:id="rId6" o:title=""/>
                </v:shape>
                <w:control r:id="rId10" w:name="DefaultOcxName4" w:shapeid="_x0000_i1035"/>
              </w:object>
            </w:r>
          </w:p>
        </w:tc>
        <w:tc>
          <w:tcPr>
            <w:tcW w:w="75" w:type="dxa"/>
            <w:vAlign w:val="center"/>
            <w:hideMark/>
          </w:tcPr>
          <w:p w:rsidR="00BC4D56" w:rsidRPr="00B468DD" w:rsidRDefault="00BC4D56" w:rsidP="00C3140F">
            <w:pPr>
              <w:spacing w:after="0" w:line="240" w:lineRule="auto"/>
              <w:rPr>
                <w:rFonts w:ascii="Arial" w:eastAsia="Times New Roman" w:hAnsi="Arial" w:cs="Arial"/>
                <w:color w:val="000000"/>
                <w:sz w:val="18"/>
                <w:szCs w:val="18"/>
              </w:rPr>
            </w:pPr>
          </w:p>
        </w:tc>
        <w:tc>
          <w:tcPr>
            <w:tcW w:w="0" w:type="auto"/>
            <w:vAlign w:val="center"/>
            <w:hideMark/>
          </w:tcPr>
          <w:p w:rsidR="00BC4D56" w:rsidRPr="00B468DD" w:rsidRDefault="00BC4D56" w:rsidP="00C3140F">
            <w:pPr>
              <w:spacing w:after="0" w:line="240" w:lineRule="auto"/>
              <w:rPr>
                <w:rFonts w:ascii="Arial" w:eastAsia="Times New Roman" w:hAnsi="Arial" w:cs="Arial"/>
                <w:color w:val="000000"/>
                <w:sz w:val="18"/>
                <w:szCs w:val="18"/>
              </w:rPr>
            </w:pPr>
            <w:r w:rsidRPr="00B468DD">
              <w:rPr>
                <w:rFonts w:ascii="Arial" w:eastAsia="Times New Roman" w:hAnsi="Arial" w:cs="Arial"/>
                <w:color w:val="000000"/>
                <w:sz w:val="18"/>
                <w:szCs w:val="18"/>
              </w:rPr>
              <w:t>$26,334</w:t>
            </w:r>
          </w:p>
        </w:tc>
      </w:tr>
    </w:tbl>
    <w:p w:rsidR="00BC4D56" w:rsidRPr="00B468DD" w:rsidRDefault="00BC4D56" w:rsidP="00BC4D56">
      <w:pPr>
        <w:shd w:val="clear" w:color="auto" w:fill="FFFFFF"/>
        <w:spacing w:after="150" w:line="240" w:lineRule="auto"/>
        <w:rPr>
          <w:rFonts w:ascii="Arial" w:eastAsia="Times New Roman" w:hAnsi="Arial" w:cs="Arial"/>
          <w:color w:val="000000"/>
          <w:sz w:val="18"/>
          <w:szCs w:val="18"/>
        </w:rPr>
      </w:pPr>
    </w:p>
    <w:p w:rsidR="0095344B" w:rsidRDefault="0095344B"/>
    <w:sectPr w:rsidR="0095344B" w:rsidSect="009534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D56"/>
    <w:rsid w:val="0095344B"/>
    <w:rsid w:val="00BC4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5.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Company>usarmy</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Fecteau</dc:creator>
  <cp:keywords/>
  <dc:description/>
  <cp:lastModifiedBy>Matthew Fecteau</cp:lastModifiedBy>
  <cp:revision>1</cp:revision>
  <dcterms:created xsi:type="dcterms:W3CDTF">2008-09-17T17:09:00Z</dcterms:created>
  <dcterms:modified xsi:type="dcterms:W3CDTF">2008-09-17T17:10:00Z</dcterms:modified>
</cp:coreProperties>
</file>