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0E" w:rsidRPr="000D02DA" w:rsidRDefault="00A33F07" w:rsidP="00A33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Porsche GT3 Cup car’s engine has a mean time between failures of 250 hours, where the failure rate is constant. Suppose that a certain race requires failure-free operation of the engine for 20 hours. What is the probability that the engine will complete the race without failure? Please </w:t>
      </w:r>
      <w:proofErr w:type="gramStart"/>
      <w:r w:rsidRPr="000D0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round</w:t>
      </w:r>
      <w:proofErr w:type="gramEnd"/>
      <w:r w:rsidRPr="000D0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your answer to 2 decimals.</w:t>
      </w:r>
    </w:p>
    <w:p w:rsidR="00A33F07" w:rsidRPr="000D02DA" w:rsidRDefault="00A33F07" w:rsidP="00A33F07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2DA" w:rsidRPr="000A7137" w:rsidRDefault="00A33F07" w:rsidP="000A7137">
      <w:pPr>
        <w:pStyle w:val="NormalWeb"/>
        <w:numPr>
          <w:ilvl w:val="0"/>
          <w:numId w:val="1"/>
        </w:numPr>
        <w:spacing w:before="0" w:after="0"/>
        <w:rPr>
          <w:color w:val="111111"/>
        </w:rPr>
      </w:pPr>
      <w:r w:rsidRPr="000D02DA">
        <w:rPr>
          <w:color w:val="000000"/>
        </w:rPr>
        <w:t>The hazard function of a product is given by</w:t>
      </w:r>
      <w:r w:rsidRPr="000D02DA">
        <w:rPr>
          <w:color w:val="000000"/>
        </w:rPr>
        <w:t xml:space="preserve"> λ = λt where λ &gt; 0. </w:t>
      </w:r>
      <w:r w:rsidRPr="000D02DA">
        <w:rPr>
          <w:color w:val="000000"/>
          <w:shd w:val="clear" w:color="auto" w:fill="FFFFFF"/>
        </w:rPr>
        <w:t xml:space="preserve"> Suppose we subject the product to the burn-in period T</w:t>
      </w:r>
      <w:r w:rsidRPr="000D02DA">
        <w:rPr>
          <w:color w:val="000000"/>
          <w:shd w:val="clear" w:color="auto" w:fill="FFFFFF"/>
          <w:vertAlign w:val="subscript"/>
        </w:rPr>
        <w:t>0</w:t>
      </w:r>
      <w:r w:rsidRPr="000D02DA">
        <w:rPr>
          <w:color w:val="000000"/>
          <w:shd w:val="clear" w:color="auto" w:fill="FFFFFF"/>
        </w:rPr>
        <w:t>. W</w:t>
      </w:r>
      <w:r w:rsidRPr="000D02DA">
        <w:rPr>
          <w:color w:val="000000"/>
          <w:shd w:val="clear" w:color="auto" w:fill="FFFFFF"/>
        </w:rPr>
        <w:t>ill the conditional reliability R (t|</w:t>
      </w:r>
      <w:r w:rsidRPr="000D02DA">
        <w:rPr>
          <w:color w:val="000000"/>
          <w:shd w:val="clear" w:color="auto" w:fill="FFFFFF"/>
        </w:rPr>
        <w:t>T</w:t>
      </w:r>
      <w:proofErr w:type="gramStart"/>
      <w:r w:rsidRPr="000D02DA">
        <w:rPr>
          <w:color w:val="000000"/>
          <w:bdr w:val="none" w:sz="0" w:space="0" w:color="auto" w:frame="1"/>
          <w:shd w:val="clear" w:color="auto" w:fill="FFFFFF"/>
          <w:vertAlign w:val="subscript"/>
        </w:rPr>
        <w:t xml:space="preserve">0 </w:t>
      </w:r>
      <w:r w:rsidRPr="000D02DA">
        <w:rPr>
          <w:color w:val="000000"/>
          <w:shd w:val="clear" w:color="auto" w:fill="FFFFFF"/>
        </w:rPr>
        <w:t>)</w:t>
      </w:r>
      <w:proofErr w:type="gramEnd"/>
      <w:r w:rsidRPr="000D02DA">
        <w:rPr>
          <w:color w:val="000000"/>
          <w:shd w:val="clear" w:color="auto" w:fill="FFFFFF"/>
        </w:rPr>
        <w:t xml:space="preserve"> </w:t>
      </w:r>
      <w:r w:rsidRPr="000D02DA">
        <w:rPr>
          <w:color w:val="000000"/>
          <w:shd w:val="clear" w:color="auto" w:fill="FFFFFF"/>
        </w:rPr>
        <w:t>increase or decrease as the burn-in period T</w:t>
      </w:r>
      <w:r w:rsidRPr="000D02DA">
        <w:rPr>
          <w:color w:val="000000"/>
          <w:bdr w:val="none" w:sz="0" w:space="0" w:color="auto" w:frame="1"/>
          <w:shd w:val="clear" w:color="auto" w:fill="FFFFFF"/>
          <w:vertAlign w:val="subscript"/>
        </w:rPr>
        <w:t>0</w:t>
      </w:r>
      <w:r w:rsidRPr="000D02DA">
        <w:rPr>
          <w:color w:val="111111"/>
        </w:rPr>
        <w:t xml:space="preserve"> </w:t>
      </w:r>
      <w:r w:rsidRPr="000D02DA">
        <w:rPr>
          <w:color w:val="000000"/>
          <w:shd w:val="clear" w:color="auto" w:fill="FFFFFF"/>
        </w:rPr>
        <w:t>increase?</w:t>
      </w:r>
    </w:p>
    <w:p w:rsidR="000A7137" w:rsidRPr="000A7137" w:rsidRDefault="000A7137" w:rsidP="000A7137">
      <w:pPr>
        <w:pStyle w:val="NormalWeb"/>
        <w:spacing w:before="0" w:after="0"/>
        <w:rPr>
          <w:color w:val="111111"/>
        </w:rPr>
      </w:pPr>
    </w:p>
    <w:p w:rsidR="00287FE3" w:rsidRPr="00287FE3" w:rsidRDefault="000D02DA" w:rsidP="00287FE3">
      <w:pPr>
        <w:pStyle w:val="NormalWeb"/>
        <w:numPr>
          <w:ilvl w:val="0"/>
          <w:numId w:val="1"/>
        </w:numPr>
        <w:spacing w:before="0" w:after="0"/>
        <w:rPr>
          <w:color w:val="111111"/>
        </w:rPr>
      </w:pPr>
      <w:r>
        <w:rPr>
          <w:rFonts w:ascii="Helvetica Neue" w:hAnsi="Helvetica Neue" w:cs="Arial"/>
          <w:color w:val="111111"/>
        </w:rPr>
        <w:t xml:space="preserve">The failure distribution is </w:t>
      </w:r>
      <w:r>
        <w:rPr>
          <w:rFonts w:ascii="Helvetica Neue" w:hAnsi="Helvetica Neue" w:cs="Arial"/>
          <w:color w:val="111111"/>
        </w:rPr>
        <w:t xml:space="preserve">given by the function below. What is </w:t>
      </w:r>
      <w:r>
        <w:rPr>
          <w:rFonts w:ascii="Helvetica Neue" w:hAnsi="Helvetica Neue" w:cs="Arial"/>
          <w:color w:val="111111"/>
        </w:rPr>
        <w:t>the MTTF (in hours).</w:t>
      </w:r>
    </w:p>
    <w:p w:rsidR="000D02DA" w:rsidRPr="00287FE3" w:rsidRDefault="000D02DA" w:rsidP="00287FE3">
      <w:pPr>
        <w:pStyle w:val="NormalWeb"/>
        <w:spacing w:before="0" w:after="0"/>
        <w:rPr>
          <w:color w:val="111111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²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10⁹</m:t>
                      </m:r>
                    </m:den>
                  </m:f>
                </m:e>
              </m:d>
            </m:e>
            <m:sup/>
          </m:sSup>
          <m:r>
            <w:rPr>
              <w:rFonts w:ascii="Cambria Math" w:hAnsi="Cambria Math"/>
            </w:rPr>
            <m:t xml:space="preserve">, for </m:t>
          </m:r>
          <m:r>
            <w:rPr>
              <w:rFonts w:ascii="Cambria Math" w:hAnsi="Cambria Math"/>
            </w:rPr>
            <m:t xml:space="preserve"> 0 ≤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≤100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hr</m:t>
          </m:r>
        </m:oMath>
      </m:oMathPara>
    </w:p>
    <w:p w:rsidR="000D02DA" w:rsidRDefault="00287FE3" w:rsidP="000D02DA">
      <w:pPr>
        <w:pStyle w:val="NormalWeb"/>
        <w:spacing w:before="0" w:after="0"/>
        <w:rPr>
          <w:color w:val="111111"/>
        </w:rPr>
      </w:pPr>
      <w:r>
        <w:rPr>
          <w:noProof/>
        </w:rPr>
        <w:drawing>
          <wp:inline distT="0" distB="0" distL="0" distR="0" wp14:anchorId="5709D838" wp14:editId="2FB8B596">
            <wp:extent cx="37719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FE3" w:rsidRPr="00CB4701" w:rsidRDefault="00287FE3" w:rsidP="00B068DF">
      <w:pPr>
        <w:pStyle w:val="NormalWeb"/>
        <w:numPr>
          <w:ilvl w:val="0"/>
          <w:numId w:val="1"/>
        </w:numPr>
        <w:spacing w:before="0" w:after="0"/>
        <w:rPr>
          <w:color w:val="111111"/>
        </w:rPr>
      </w:pPr>
      <w:r>
        <w:rPr>
          <w:rFonts w:ascii="Helvetica Neue" w:hAnsi="Helvetica Neue" w:cs="Arial"/>
          <w:color w:val="111111"/>
        </w:rPr>
        <w:t>The time to failure of a typical household refrigerator has the following pdf:</w:t>
      </w:r>
      <w:r w:rsidR="00B068DF">
        <w:rPr>
          <w:rFonts w:ascii="Helvetica Neue" w:hAnsi="Helvetica Neue" w:cs="Arial"/>
          <w:color w:val="111111"/>
        </w:rPr>
        <w:t xml:space="preserve"> </w:t>
      </w:r>
      <w:r w:rsidR="00B068DF">
        <w:rPr>
          <w:rFonts w:ascii="Helvetica Neue" w:hAnsi="Helvetica Neue" w:cs="Arial"/>
          <w:color w:val="111111"/>
        </w:rPr>
        <w:t xml:space="preserve">What is the reliability of the refrigerator for the first year? Please </w:t>
      </w:r>
      <w:proofErr w:type="gramStart"/>
      <w:r w:rsidR="00B068DF">
        <w:rPr>
          <w:rFonts w:ascii="Helvetica Neue" w:hAnsi="Helvetica Neue" w:cs="Arial"/>
          <w:color w:val="111111"/>
        </w:rPr>
        <w:t>round</w:t>
      </w:r>
      <w:proofErr w:type="gramEnd"/>
      <w:r w:rsidR="00B068DF">
        <w:rPr>
          <w:rFonts w:ascii="Helvetica Neue" w:hAnsi="Helvetica Neue" w:cs="Arial"/>
          <w:color w:val="111111"/>
        </w:rPr>
        <w:t xml:space="preserve"> your answer to 2 decimals</w:t>
      </w:r>
    </w:p>
    <w:p w:rsidR="00287FE3" w:rsidRPr="00287FE3" w:rsidRDefault="00287FE3" w:rsidP="00287FE3">
      <w:pPr>
        <w:ind w:left="360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0.003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-0.06t+0.3 for </m:t>
                  </m:r>
                  <m:r>
                    <w:rPr>
                      <w:rFonts w:ascii="Cambria Math" w:hAnsi="Cambria Math"/>
                    </w:rPr>
                    <m:t xml:space="preserve">    0≤t</m:t>
                  </m:r>
                  <m:r>
                    <w:rPr>
                      <w:rFonts w:ascii="Cambria Math" w:hAnsi="Cambria Math"/>
                    </w:rPr>
                    <m:t>≤10</m:t>
                  </m:r>
                  <m:r>
                    <w:rPr>
                      <w:rFonts w:ascii="Cambria Math" w:hAnsi="Cambria Math"/>
                    </w:rPr>
                    <m:t xml:space="preserve"> years</m:t>
                  </m:r>
                </m:e>
                <m:e>
                  <m:r>
                    <w:rPr>
                      <w:rFonts w:ascii="Cambria Math" w:hAnsi="Cambria Math"/>
                    </w:rPr>
                    <m:t>0             elsewhere</m:t>
                  </m:r>
                </m:e>
              </m:eqArr>
            </m:e>
          </m:d>
        </m:oMath>
      </m:oMathPara>
    </w:p>
    <w:p w:rsidR="00287FE3" w:rsidRPr="000D02DA" w:rsidRDefault="00CB4701" w:rsidP="00287FE3">
      <w:pPr>
        <w:pStyle w:val="NormalWeb"/>
        <w:spacing w:before="0" w:after="0"/>
        <w:ind w:left="720"/>
        <w:rPr>
          <w:color w:val="111111"/>
        </w:rPr>
      </w:pPr>
      <w:r>
        <w:rPr>
          <w:noProof/>
        </w:rPr>
        <w:drawing>
          <wp:inline distT="0" distB="0" distL="0" distR="0" wp14:anchorId="5763A67A" wp14:editId="24F667FE">
            <wp:extent cx="5406390" cy="6667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DA" w:rsidRPr="000D02DA" w:rsidRDefault="000D02DA" w:rsidP="000D02DA">
      <w:pPr>
        <w:pStyle w:val="ListParagraph"/>
        <w:rPr>
          <w:rFonts w:ascii="Times New Roman" w:hAnsi="Times New Roman" w:cs="Times New Roman"/>
          <w:color w:val="111111"/>
          <w:sz w:val="24"/>
          <w:szCs w:val="24"/>
        </w:rPr>
      </w:pPr>
    </w:p>
    <w:p w:rsidR="000A7137" w:rsidRPr="000A7137" w:rsidRDefault="000A7137" w:rsidP="000A7137">
      <w:pPr>
        <w:pStyle w:val="ListParagraph"/>
        <w:numPr>
          <w:ilvl w:val="0"/>
          <w:numId w:val="1"/>
        </w:numPr>
        <w:spacing w:before="180" w:after="0" w:line="240" w:lineRule="auto"/>
        <w:jc w:val="both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0A7137">
        <w:rPr>
          <w:rFonts w:ascii="Helvetica Neue" w:eastAsia="Times New Roman" w:hAnsi="Helvetica Neue" w:cs="Arial"/>
          <w:color w:val="000000"/>
        </w:rPr>
        <w:t xml:space="preserve">Pick three contributing factors for </w:t>
      </w:r>
      <w:r w:rsidRPr="000A7137">
        <w:rPr>
          <w:rFonts w:ascii="Helvetica Neue" w:eastAsia="Times New Roman" w:hAnsi="Helvetica Neue" w:cs="Arial"/>
          <w:color w:val="000000"/>
          <w:bdr w:val="none" w:sz="0" w:space="0" w:color="auto" w:frame="1"/>
        </w:rPr>
        <w:t>observing an IFR hazard. </w:t>
      </w:r>
    </w:p>
    <w:p w:rsidR="000A7137" w:rsidRDefault="000A7137" w:rsidP="000A7137">
      <w:pPr>
        <w:pStyle w:val="ListParagraph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Arial"/>
          <w:color w:val="000000"/>
          <w:bdr w:val="none" w:sz="0" w:space="0" w:color="auto" w:frame="1"/>
        </w:rPr>
      </w:pPr>
      <w:r w:rsidRPr="000A7137">
        <w:rPr>
          <w:rFonts w:ascii="Helvetica Neue" w:eastAsia="Times New Roman" w:hAnsi="Helvetica Neue" w:cs="Arial"/>
          <w:color w:val="000000"/>
          <w:bdr w:val="none" w:sz="0" w:space="0" w:color="auto" w:frame="1"/>
        </w:rPr>
        <w:t>Hint: These factors can typically be addressed using preventative maintenan</w:t>
      </w:r>
      <w:r>
        <w:rPr>
          <w:rFonts w:ascii="Helvetica Neue" w:eastAsia="Times New Roman" w:hAnsi="Helvetica Neue" w:cs="Arial"/>
          <w:color w:val="000000"/>
          <w:bdr w:val="none" w:sz="0" w:space="0" w:color="auto" w:frame="1"/>
        </w:rPr>
        <w:t>ce.</w:t>
      </w:r>
    </w:p>
    <w:p w:rsidR="000A7137" w:rsidRDefault="000A7137" w:rsidP="000A7137">
      <w:pPr>
        <w:pStyle w:val="ListParagraph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Arial"/>
          <w:color w:val="000000"/>
          <w:bdr w:val="none" w:sz="0" w:space="0" w:color="auto" w:frame="1"/>
        </w:rPr>
      </w:pPr>
    </w:p>
    <w:p w:rsidR="00A33F07" w:rsidRPr="00E80143" w:rsidRDefault="000A7137" w:rsidP="00E80143">
      <w:pPr>
        <w:pStyle w:val="ListParagraph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Arial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 wp14:anchorId="2A1DC977" wp14:editId="08BD6ACD">
            <wp:extent cx="2289810" cy="1596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F07" w:rsidRPr="00E8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739"/>
    <w:multiLevelType w:val="hybridMultilevel"/>
    <w:tmpl w:val="6F3A71EA"/>
    <w:lvl w:ilvl="0" w:tplc="2B86FCA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07"/>
    <w:rsid w:val="000A7137"/>
    <w:rsid w:val="000D02DA"/>
    <w:rsid w:val="00287FE3"/>
    <w:rsid w:val="006E1B20"/>
    <w:rsid w:val="008A560E"/>
    <w:rsid w:val="00A33F07"/>
    <w:rsid w:val="00AF26CC"/>
    <w:rsid w:val="00B068DF"/>
    <w:rsid w:val="00B6369C"/>
    <w:rsid w:val="00CB4701"/>
    <w:rsid w:val="00E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3381"/>
  <w15:chartTrackingRefBased/>
  <w15:docId w15:val="{F276A1D6-A9DE-46BB-9828-795731A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84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98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092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3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3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409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750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8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4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2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260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857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9</cp:revision>
  <dcterms:created xsi:type="dcterms:W3CDTF">2016-09-20T23:57:00Z</dcterms:created>
  <dcterms:modified xsi:type="dcterms:W3CDTF">2016-09-21T00:52:00Z</dcterms:modified>
</cp:coreProperties>
</file>