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2B" w:rsidRDefault="007A55B9" w:rsidP="00420BDF">
      <w:r>
        <w:t>5. At a school pep rally, a group of sophomore students organized a free raffle for prizes. They claimed that they put the names of all the students in the school in the basket and that they randomly drew 36 names out of this basket. Of the prize winners, 6 were freshmen, 14 were sophomores, 9 were juniors, and 7 were seniors. The results do not seem that random to you. You think it is a little fishy</w:t>
      </w:r>
      <w:r w:rsidR="00DA43CE">
        <w:t xml:space="preserve"> that sophomores organized the raffle and also won the most prizes. Your school is composed of 30% freshmen, 25% sophomores, 25% juniors, and 20% seniors. </w:t>
      </w:r>
    </w:p>
    <w:tbl>
      <w:tblPr>
        <w:tblStyle w:val="TableGrid"/>
        <w:tblW w:w="0" w:type="auto"/>
        <w:tblLook w:val="04A0" w:firstRow="1" w:lastRow="0" w:firstColumn="1" w:lastColumn="0" w:noHBand="0" w:noVBand="1"/>
      </w:tblPr>
      <w:tblGrid>
        <w:gridCol w:w="1565"/>
        <w:gridCol w:w="1568"/>
        <w:gridCol w:w="1587"/>
        <w:gridCol w:w="1547"/>
        <w:gridCol w:w="1546"/>
        <w:gridCol w:w="1537"/>
      </w:tblGrid>
      <w:tr w:rsidR="004B31F9" w:rsidTr="004B31F9">
        <w:tc>
          <w:tcPr>
            <w:tcW w:w="1596" w:type="dxa"/>
          </w:tcPr>
          <w:p w:rsidR="004B31F9" w:rsidRDefault="004B31F9"/>
        </w:tc>
        <w:tc>
          <w:tcPr>
            <w:tcW w:w="1596" w:type="dxa"/>
          </w:tcPr>
          <w:p w:rsidR="004B31F9" w:rsidRPr="002B5F05" w:rsidRDefault="002B5F05">
            <w:pPr>
              <w:rPr>
                <w:b/>
              </w:rPr>
            </w:pPr>
            <w:r w:rsidRPr="002B5F05">
              <w:rPr>
                <w:b/>
              </w:rPr>
              <w:t>Freshmen</w:t>
            </w:r>
          </w:p>
        </w:tc>
        <w:tc>
          <w:tcPr>
            <w:tcW w:w="1596" w:type="dxa"/>
          </w:tcPr>
          <w:p w:rsidR="004B31F9" w:rsidRPr="002B5F05" w:rsidRDefault="002B5F05">
            <w:pPr>
              <w:rPr>
                <w:b/>
              </w:rPr>
            </w:pPr>
            <w:r w:rsidRPr="002B5F05">
              <w:rPr>
                <w:b/>
              </w:rPr>
              <w:t>Sophomores</w:t>
            </w:r>
          </w:p>
        </w:tc>
        <w:tc>
          <w:tcPr>
            <w:tcW w:w="1596" w:type="dxa"/>
          </w:tcPr>
          <w:p w:rsidR="004B31F9" w:rsidRPr="002B5F05" w:rsidRDefault="002B5F05">
            <w:pPr>
              <w:rPr>
                <w:b/>
              </w:rPr>
            </w:pPr>
            <w:r w:rsidRPr="002B5F05">
              <w:rPr>
                <w:b/>
              </w:rPr>
              <w:t>Juniors</w:t>
            </w:r>
          </w:p>
        </w:tc>
        <w:tc>
          <w:tcPr>
            <w:tcW w:w="1596" w:type="dxa"/>
          </w:tcPr>
          <w:p w:rsidR="004B31F9" w:rsidRPr="002B5F05" w:rsidRDefault="002B5F05">
            <w:pPr>
              <w:rPr>
                <w:b/>
              </w:rPr>
            </w:pPr>
            <w:r w:rsidRPr="002B5F05">
              <w:rPr>
                <w:b/>
              </w:rPr>
              <w:t>Seniors</w:t>
            </w:r>
          </w:p>
        </w:tc>
        <w:tc>
          <w:tcPr>
            <w:tcW w:w="1596" w:type="dxa"/>
          </w:tcPr>
          <w:p w:rsidR="004B31F9" w:rsidRPr="002B5F05" w:rsidRDefault="002B5F05">
            <w:pPr>
              <w:rPr>
                <w:b/>
              </w:rPr>
            </w:pPr>
            <w:r w:rsidRPr="002B5F05">
              <w:rPr>
                <w:b/>
              </w:rPr>
              <w:t>Totals</w:t>
            </w:r>
          </w:p>
        </w:tc>
      </w:tr>
      <w:tr w:rsidR="004B31F9" w:rsidTr="004B31F9">
        <w:tc>
          <w:tcPr>
            <w:tcW w:w="1596" w:type="dxa"/>
          </w:tcPr>
          <w:p w:rsidR="004B31F9" w:rsidRPr="002B5F05" w:rsidRDefault="004B31F9">
            <w:pPr>
              <w:rPr>
                <w:b/>
              </w:rPr>
            </w:pPr>
            <w:r w:rsidRPr="002B5F05">
              <w:rPr>
                <w:b/>
              </w:rPr>
              <w:t>Observed</w:t>
            </w:r>
          </w:p>
        </w:tc>
        <w:tc>
          <w:tcPr>
            <w:tcW w:w="1596" w:type="dxa"/>
          </w:tcPr>
          <w:p w:rsidR="004B31F9" w:rsidRDefault="002B5F05" w:rsidP="00074D2C">
            <w:pPr>
              <w:jc w:val="center"/>
            </w:pPr>
            <w:r>
              <w:t>6</w:t>
            </w:r>
          </w:p>
        </w:tc>
        <w:tc>
          <w:tcPr>
            <w:tcW w:w="1596" w:type="dxa"/>
          </w:tcPr>
          <w:p w:rsidR="004B31F9" w:rsidRDefault="002B5F05" w:rsidP="00074D2C">
            <w:pPr>
              <w:jc w:val="center"/>
            </w:pPr>
            <w:r>
              <w:t>14</w:t>
            </w:r>
          </w:p>
        </w:tc>
        <w:tc>
          <w:tcPr>
            <w:tcW w:w="1596" w:type="dxa"/>
          </w:tcPr>
          <w:p w:rsidR="004B31F9" w:rsidRDefault="002B5F05" w:rsidP="00074D2C">
            <w:pPr>
              <w:jc w:val="center"/>
            </w:pPr>
            <w:r>
              <w:t>9</w:t>
            </w:r>
          </w:p>
        </w:tc>
        <w:tc>
          <w:tcPr>
            <w:tcW w:w="1596" w:type="dxa"/>
          </w:tcPr>
          <w:p w:rsidR="004B31F9" w:rsidRDefault="002B5F05" w:rsidP="00074D2C">
            <w:pPr>
              <w:jc w:val="center"/>
            </w:pPr>
            <w:r>
              <w:t>7</w:t>
            </w:r>
          </w:p>
        </w:tc>
        <w:tc>
          <w:tcPr>
            <w:tcW w:w="1596" w:type="dxa"/>
          </w:tcPr>
          <w:p w:rsidR="004B31F9" w:rsidRPr="002B5F05" w:rsidRDefault="004B31F9" w:rsidP="00074D2C">
            <w:pPr>
              <w:jc w:val="center"/>
              <w:rPr>
                <w:color w:val="00B0F0"/>
              </w:rPr>
            </w:pPr>
          </w:p>
        </w:tc>
      </w:tr>
      <w:tr w:rsidR="004B31F9" w:rsidTr="004B31F9">
        <w:tc>
          <w:tcPr>
            <w:tcW w:w="1596" w:type="dxa"/>
          </w:tcPr>
          <w:p w:rsidR="004B31F9" w:rsidRPr="002B5F05" w:rsidRDefault="002B5F05">
            <w:pPr>
              <w:rPr>
                <w:b/>
              </w:rPr>
            </w:pPr>
            <w:r w:rsidRPr="002B5F05">
              <w:rPr>
                <w:b/>
              </w:rPr>
              <w:t>E</w:t>
            </w:r>
            <w:r w:rsidR="004B31F9" w:rsidRPr="002B5F05">
              <w:rPr>
                <w:b/>
              </w:rPr>
              <w:t>xpected</w:t>
            </w:r>
          </w:p>
        </w:tc>
        <w:tc>
          <w:tcPr>
            <w:tcW w:w="1596" w:type="dxa"/>
          </w:tcPr>
          <w:p w:rsidR="004B31F9" w:rsidRPr="000414AD" w:rsidRDefault="004B31F9" w:rsidP="00074D2C">
            <w:pPr>
              <w:jc w:val="center"/>
              <w:rPr>
                <w:color w:val="FF0000"/>
              </w:rPr>
            </w:pPr>
          </w:p>
        </w:tc>
        <w:tc>
          <w:tcPr>
            <w:tcW w:w="1596" w:type="dxa"/>
          </w:tcPr>
          <w:p w:rsidR="004B31F9" w:rsidRPr="000414AD" w:rsidRDefault="004B31F9" w:rsidP="00074D2C">
            <w:pPr>
              <w:jc w:val="center"/>
              <w:rPr>
                <w:color w:val="FF0000"/>
              </w:rPr>
            </w:pPr>
          </w:p>
        </w:tc>
        <w:tc>
          <w:tcPr>
            <w:tcW w:w="1596" w:type="dxa"/>
          </w:tcPr>
          <w:p w:rsidR="004B31F9" w:rsidRPr="000414AD" w:rsidRDefault="004B31F9" w:rsidP="00074D2C">
            <w:pPr>
              <w:jc w:val="center"/>
              <w:rPr>
                <w:color w:val="FF0000"/>
              </w:rPr>
            </w:pPr>
          </w:p>
        </w:tc>
        <w:tc>
          <w:tcPr>
            <w:tcW w:w="1596" w:type="dxa"/>
          </w:tcPr>
          <w:p w:rsidR="004B31F9" w:rsidRPr="000414AD" w:rsidRDefault="004B31F9" w:rsidP="00074D2C">
            <w:pPr>
              <w:jc w:val="center"/>
              <w:rPr>
                <w:color w:val="FF0000"/>
              </w:rPr>
            </w:pPr>
          </w:p>
        </w:tc>
        <w:tc>
          <w:tcPr>
            <w:tcW w:w="1596" w:type="dxa"/>
          </w:tcPr>
          <w:p w:rsidR="004B31F9" w:rsidRPr="000414AD" w:rsidRDefault="004B31F9" w:rsidP="00074D2C">
            <w:pPr>
              <w:jc w:val="center"/>
              <w:rPr>
                <w:color w:val="FF0000"/>
              </w:rPr>
            </w:pPr>
          </w:p>
        </w:tc>
      </w:tr>
      <w:tr w:rsidR="004B31F9" w:rsidTr="004B31F9">
        <w:tc>
          <w:tcPr>
            <w:tcW w:w="1596" w:type="dxa"/>
          </w:tcPr>
          <w:p w:rsidR="004B31F9" w:rsidRPr="002B5F05" w:rsidRDefault="002B5F05">
            <w:pPr>
              <w:rPr>
                <w:b/>
              </w:rPr>
            </w:pPr>
            <w:r w:rsidRPr="002B5F05">
              <w:rPr>
                <w:b/>
              </w:rPr>
              <w:t>Chi-Square</w:t>
            </w:r>
          </w:p>
        </w:tc>
        <w:tc>
          <w:tcPr>
            <w:tcW w:w="1596" w:type="dxa"/>
          </w:tcPr>
          <w:p w:rsidR="004B31F9" w:rsidRPr="000414AD" w:rsidRDefault="004B31F9" w:rsidP="00074D2C">
            <w:pPr>
              <w:jc w:val="center"/>
              <w:rPr>
                <w:color w:val="FF0000"/>
              </w:rPr>
            </w:pPr>
          </w:p>
        </w:tc>
        <w:tc>
          <w:tcPr>
            <w:tcW w:w="1596" w:type="dxa"/>
          </w:tcPr>
          <w:p w:rsidR="004B31F9" w:rsidRPr="000414AD" w:rsidRDefault="004B31F9" w:rsidP="00074D2C">
            <w:pPr>
              <w:jc w:val="center"/>
              <w:rPr>
                <w:color w:val="FF0000"/>
              </w:rPr>
            </w:pPr>
          </w:p>
        </w:tc>
        <w:tc>
          <w:tcPr>
            <w:tcW w:w="1596" w:type="dxa"/>
          </w:tcPr>
          <w:p w:rsidR="004B31F9" w:rsidRPr="000414AD" w:rsidRDefault="004B31F9" w:rsidP="00074D2C">
            <w:pPr>
              <w:jc w:val="center"/>
              <w:rPr>
                <w:color w:val="FF0000"/>
              </w:rPr>
            </w:pPr>
          </w:p>
        </w:tc>
        <w:tc>
          <w:tcPr>
            <w:tcW w:w="1596" w:type="dxa"/>
          </w:tcPr>
          <w:p w:rsidR="004B31F9" w:rsidRPr="000414AD" w:rsidRDefault="004B31F9" w:rsidP="00074D2C">
            <w:pPr>
              <w:jc w:val="center"/>
              <w:rPr>
                <w:color w:val="FF0000"/>
              </w:rPr>
            </w:pPr>
          </w:p>
        </w:tc>
        <w:tc>
          <w:tcPr>
            <w:tcW w:w="1596" w:type="dxa"/>
          </w:tcPr>
          <w:p w:rsidR="004B31F9" w:rsidRPr="000414AD" w:rsidRDefault="004B31F9" w:rsidP="00074D2C">
            <w:pPr>
              <w:jc w:val="center"/>
              <w:rPr>
                <w:color w:val="FF0000"/>
              </w:rPr>
            </w:pPr>
          </w:p>
        </w:tc>
      </w:tr>
    </w:tbl>
    <w:p w:rsidR="00DA43CE" w:rsidRDefault="00DA43CE"/>
    <w:p w:rsidR="00DA43CE" w:rsidRDefault="001D617B" w:rsidP="001D617B">
      <w:r>
        <w:t xml:space="preserve">a. </w:t>
      </w:r>
      <w:r w:rsidR="00DA43CE">
        <w:t>What are the expected frequencies of winners from each class?</w:t>
      </w:r>
    </w:p>
    <w:p w:rsidR="00DA43CE" w:rsidRDefault="00DA43CE" w:rsidP="00DA43CE"/>
    <w:p w:rsidR="006163FE" w:rsidRDefault="00DA43CE" w:rsidP="00DA43CE">
      <w:r>
        <w:t>b. Conduct a significance test to determine whether the winners of the prizes were distributed throughout the classes as would be expect</w:t>
      </w:r>
      <w:r w:rsidR="006163FE">
        <w:t>ed based on the percentage of</w:t>
      </w:r>
      <w:r>
        <w:t xml:space="preserve"> students in each group</w:t>
      </w:r>
      <w:r w:rsidR="006163FE">
        <w:t>. Report your Chi Square and p values.</w:t>
      </w:r>
    </w:p>
    <w:p w:rsidR="00B029A4" w:rsidRPr="002B7331" w:rsidRDefault="00B029A4" w:rsidP="00DA43CE">
      <w:pPr>
        <w:rPr>
          <w:color w:val="00B0F0"/>
        </w:rPr>
      </w:pPr>
    </w:p>
    <w:p w:rsidR="006163FE" w:rsidRDefault="006163FE" w:rsidP="00DA43CE">
      <w:r>
        <w:t>c. what do you conclude?</w:t>
      </w:r>
    </w:p>
    <w:p w:rsidR="009B2C53" w:rsidRDefault="009B2C53" w:rsidP="00DA43CE">
      <w:r>
        <w:t>Assume the significance level is 0.05.</w:t>
      </w:r>
    </w:p>
    <w:p w:rsidR="006163FE" w:rsidRDefault="006163FE" w:rsidP="00DA43CE"/>
    <w:p w:rsidR="006163FE" w:rsidRPr="006163FE" w:rsidRDefault="006163FE" w:rsidP="006163FE">
      <w:pPr>
        <w:autoSpaceDE w:val="0"/>
        <w:autoSpaceDN w:val="0"/>
        <w:adjustRightInd w:val="0"/>
      </w:pPr>
      <w:r>
        <w:t xml:space="preserve">14. </w:t>
      </w:r>
      <w:r w:rsidRPr="006163FE">
        <w:t>A geologist collects hand-specimen sized pieces of limestone from a particular</w:t>
      </w:r>
    </w:p>
    <w:p w:rsidR="006163FE" w:rsidRPr="006163FE" w:rsidRDefault="006163FE" w:rsidP="006163FE">
      <w:pPr>
        <w:autoSpaceDE w:val="0"/>
        <w:autoSpaceDN w:val="0"/>
        <w:adjustRightInd w:val="0"/>
      </w:pPr>
      <w:r w:rsidRPr="006163FE">
        <w:t>area. A qualitative assessment of both texture and color is made with the</w:t>
      </w:r>
      <w:r>
        <w:t xml:space="preserve"> </w:t>
      </w:r>
      <w:r w:rsidRPr="006163FE">
        <w:t>following results. Is there evidence of association between color and texture for</w:t>
      </w:r>
      <w:r>
        <w:t xml:space="preserve"> </w:t>
      </w:r>
      <w:r w:rsidRPr="006163FE">
        <w:t xml:space="preserve">these limestones? Explain your answer. </w:t>
      </w:r>
    </w:p>
    <w:tbl>
      <w:tblPr>
        <w:tblStyle w:val="TableGrid"/>
        <w:tblW w:w="7195" w:type="dxa"/>
        <w:jc w:val="center"/>
        <w:tblLayout w:type="fixed"/>
        <w:tblLook w:val="04A0" w:firstRow="1" w:lastRow="0" w:firstColumn="1" w:lastColumn="0" w:noHBand="0" w:noVBand="1"/>
      </w:tblPr>
      <w:tblGrid>
        <w:gridCol w:w="1615"/>
        <w:gridCol w:w="1980"/>
        <w:gridCol w:w="1980"/>
        <w:gridCol w:w="1620"/>
      </w:tblGrid>
      <w:tr w:rsidR="00D41341" w:rsidRPr="006163FE" w:rsidTr="00503590">
        <w:trPr>
          <w:jc w:val="center"/>
        </w:trPr>
        <w:tc>
          <w:tcPr>
            <w:tcW w:w="1615" w:type="dxa"/>
          </w:tcPr>
          <w:p w:rsidR="00D41341" w:rsidRPr="006163FE" w:rsidRDefault="00D41341" w:rsidP="00F07B2C">
            <w:pPr>
              <w:autoSpaceDE w:val="0"/>
              <w:autoSpaceDN w:val="0"/>
              <w:adjustRightInd w:val="0"/>
              <w:rPr>
                <w:b/>
              </w:rPr>
            </w:pPr>
          </w:p>
        </w:tc>
        <w:tc>
          <w:tcPr>
            <w:tcW w:w="5580" w:type="dxa"/>
            <w:gridSpan w:val="3"/>
          </w:tcPr>
          <w:p w:rsidR="00D41341" w:rsidRPr="006163FE" w:rsidRDefault="00D41341" w:rsidP="00F07B2C">
            <w:pPr>
              <w:autoSpaceDE w:val="0"/>
              <w:autoSpaceDN w:val="0"/>
              <w:adjustRightInd w:val="0"/>
              <w:jc w:val="center"/>
              <w:rPr>
                <w:b/>
              </w:rPr>
            </w:pPr>
            <w:r w:rsidRPr="006163FE">
              <w:rPr>
                <w:b/>
              </w:rPr>
              <w:t>Color</w:t>
            </w:r>
          </w:p>
        </w:tc>
      </w:tr>
      <w:tr w:rsidR="00D41341" w:rsidRPr="00674A78" w:rsidTr="00503590">
        <w:trPr>
          <w:jc w:val="center"/>
        </w:trPr>
        <w:tc>
          <w:tcPr>
            <w:tcW w:w="1615" w:type="dxa"/>
          </w:tcPr>
          <w:p w:rsidR="00D41341" w:rsidRPr="006163FE" w:rsidRDefault="00D41341" w:rsidP="00F07B2C">
            <w:pPr>
              <w:autoSpaceDE w:val="0"/>
              <w:autoSpaceDN w:val="0"/>
              <w:adjustRightInd w:val="0"/>
              <w:rPr>
                <w:b/>
              </w:rPr>
            </w:pPr>
            <w:r w:rsidRPr="006163FE">
              <w:rPr>
                <w:b/>
              </w:rPr>
              <w:t>Texture</w:t>
            </w:r>
          </w:p>
        </w:tc>
        <w:tc>
          <w:tcPr>
            <w:tcW w:w="1980" w:type="dxa"/>
          </w:tcPr>
          <w:p w:rsidR="00D41341" w:rsidRPr="006163FE" w:rsidRDefault="00D41341" w:rsidP="00D41341">
            <w:pPr>
              <w:autoSpaceDE w:val="0"/>
              <w:autoSpaceDN w:val="0"/>
              <w:adjustRightInd w:val="0"/>
              <w:rPr>
                <w:b/>
              </w:rPr>
            </w:pPr>
            <w:r w:rsidRPr="006163FE">
              <w:rPr>
                <w:b/>
              </w:rPr>
              <w:t>Light</w:t>
            </w:r>
          </w:p>
        </w:tc>
        <w:tc>
          <w:tcPr>
            <w:tcW w:w="1980" w:type="dxa"/>
          </w:tcPr>
          <w:p w:rsidR="00D41341" w:rsidRPr="00B53407" w:rsidRDefault="00D41341" w:rsidP="00FC04B8">
            <w:pPr>
              <w:autoSpaceDE w:val="0"/>
              <w:autoSpaceDN w:val="0"/>
              <w:adjustRightInd w:val="0"/>
              <w:rPr>
                <w:b/>
                <w:sz w:val="16"/>
                <w:szCs w:val="16"/>
              </w:rPr>
            </w:pPr>
            <w:r w:rsidRPr="006163FE">
              <w:rPr>
                <w:b/>
              </w:rPr>
              <w:t>Medium</w:t>
            </w:r>
          </w:p>
        </w:tc>
        <w:tc>
          <w:tcPr>
            <w:tcW w:w="1620" w:type="dxa"/>
          </w:tcPr>
          <w:p w:rsidR="00D41341" w:rsidRPr="00D41341" w:rsidRDefault="00D41341" w:rsidP="00D41341">
            <w:pPr>
              <w:autoSpaceDE w:val="0"/>
              <w:autoSpaceDN w:val="0"/>
              <w:adjustRightInd w:val="0"/>
              <w:rPr>
                <w:b/>
              </w:rPr>
            </w:pPr>
            <w:r w:rsidRPr="006163FE">
              <w:rPr>
                <w:b/>
              </w:rPr>
              <w:t>Dark</w:t>
            </w:r>
          </w:p>
        </w:tc>
      </w:tr>
      <w:tr w:rsidR="00D41341" w:rsidRPr="00674A78" w:rsidTr="00503590">
        <w:trPr>
          <w:jc w:val="center"/>
        </w:trPr>
        <w:tc>
          <w:tcPr>
            <w:tcW w:w="1615" w:type="dxa"/>
          </w:tcPr>
          <w:p w:rsidR="00D41341" w:rsidRDefault="00D41341" w:rsidP="00F07B2C">
            <w:pPr>
              <w:autoSpaceDE w:val="0"/>
              <w:autoSpaceDN w:val="0"/>
              <w:adjustRightInd w:val="0"/>
            </w:pPr>
            <w:r>
              <w:t>Fine</w:t>
            </w:r>
          </w:p>
        </w:tc>
        <w:tc>
          <w:tcPr>
            <w:tcW w:w="1980" w:type="dxa"/>
          </w:tcPr>
          <w:p w:rsidR="00D41341" w:rsidRPr="00B53407" w:rsidRDefault="00D41341" w:rsidP="00D41341">
            <w:pPr>
              <w:autoSpaceDE w:val="0"/>
              <w:autoSpaceDN w:val="0"/>
              <w:adjustRightInd w:val="0"/>
              <w:rPr>
                <w:color w:val="FFC000"/>
              </w:rPr>
            </w:pPr>
            <w:r>
              <w:t xml:space="preserve">4 </w:t>
            </w:r>
          </w:p>
        </w:tc>
        <w:tc>
          <w:tcPr>
            <w:tcW w:w="1980" w:type="dxa"/>
          </w:tcPr>
          <w:p w:rsidR="00D41341" w:rsidRPr="00B53407" w:rsidRDefault="00D41341" w:rsidP="00D41341">
            <w:pPr>
              <w:autoSpaceDE w:val="0"/>
              <w:autoSpaceDN w:val="0"/>
              <w:adjustRightInd w:val="0"/>
              <w:rPr>
                <w:color w:val="FFC000"/>
              </w:rPr>
            </w:pPr>
            <w:r>
              <w:t xml:space="preserve">20 </w:t>
            </w:r>
          </w:p>
        </w:tc>
        <w:tc>
          <w:tcPr>
            <w:tcW w:w="1620" w:type="dxa"/>
          </w:tcPr>
          <w:p w:rsidR="00D41341" w:rsidRPr="00B53407" w:rsidRDefault="00D41341" w:rsidP="00D41341">
            <w:pPr>
              <w:autoSpaceDE w:val="0"/>
              <w:autoSpaceDN w:val="0"/>
              <w:adjustRightInd w:val="0"/>
              <w:rPr>
                <w:color w:val="FFC000"/>
              </w:rPr>
            </w:pPr>
            <w:r>
              <w:t>8</w:t>
            </w:r>
          </w:p>
        </w:tc>
      </w:tr>
      <w:tr w:rsidR="00D41341" w:rsidRPr="00800CC6" w:rsidTr="00503590">
        <w:trPr>
          <w:jc w:val="center"/>
        </w:trPr>
        <w:tc>
          <w:tcPr>
            <w:tcW w:w="1615" w:type="dxa"/>
          </w:tcPr>
          <w:p w:rsidR="00D41341" w:rsidRDefault="00D41341" w:rsidP="00F07B2C">
            <w:pPr>
              <w:autoSpaceDE w:val="0"/>
              <w:autoSpaceDN w:val="0"/>
              <w:adjustRightInd w:val="0"/>
            </w:pPr>
            <w:r>
              <w:t>Medium</w:t>
            </w:r>
          </w:p>
        </w:tc>
        <w:tc>
          <w:tcPr>
            <w:tcW w:w="1980" w:type="dxa"/>
          </w:tcPr>
          <w:p w:rsidR="00D41341" w:rsidRPr="00B53407" w:rsidRDefault="00D41341" w:rsidP="00D41341">
            <w:pPr>
              <w:autoSpaceDE w:val="0"/>
              <w:autoSpaceDN w:val="0"/>
              <w:adjustRightInd w:val="0"/>
              <w:rPr>
                <w:color w:val="FFC000"/>
              </w:rPr>
            </w:pPr>
            <w:r>
              <w:t xml:space="preserve">5 </w:t>
            </w:r>
          </w:p>
        </w:tc>
        <w:tc>
          <w:tcPr>
            <w:tcW w:w="1980" w:type="dxa"/>
          </w:tcPr>
          <w:p w:rsidR="00D41341" w:rsidRPr="00B53407" w:rsidRDefault="00D41341" w:rsidP="00D41341">
            <w:pPr>
              <w:autoSpaceDE w:val="0"/>
              <w:autoSpaceDN w:val="0"/>
              <w:adjustRightInd w:val="0"/>
              <w:rPr>
                <w:color w:val="FFC000"/>
              </w:rPr>
            </w:pPr>
            <w:r>
              <w:t>23</w:t>
            </w:r>
            <w:r>
              <w:rPr>
                <w:color w:val="00B0F0"/>
              </w:rPr>
              <w:t xml:space="preserve"> </w:t>
            </w:r>
          </w:p>
        </w:tc>
        <w:tc>
          <w:tcPr>
            <w:tcW w:w="1620" w:type="dxa"/>
          </w:tcPr>
          <w:p w:rsidR="00D41341" w:rsidRPr="00B53407" w:rsidRDefault="00D41341" w:rsidP="00D41341">
            <w:pPr>
              <w:autoSpaceDE w:val="0"/>
              <w:autoSpaceDN w:val="0"/>
              <w:adjustRightInd w:val="0"/>
              <w:rPr>
                <w:color w:val="FFC000"/>
              </w:rPr>
            </w:pPr>
            <w:r>
              <w:t>12</w:t>
            </w:r>
          </w:p>
        </w:tc>
      </w:tr>
      <w:tr w:rsidR="00D41341" w:rsidRPr="00800CC6" w:rsidTr="00503590">
        <w:trPr>
          <w:jc w:val="center"/>
        </w:trPr>
        <w:tc>
          <w:tcPr>
            <w:tcW w:w="1615" w:type="dxa"/>
          </w:tcPr>
          <w:p w:rsidR="00D41341" w:rsidRDefault="00D41341" w:rsidP="00F07B2C">
            <w:pPr>
              <w:autoSpaceDE w:val="0"/>
              <w:autoSpaceDN w:val="0"/>
              <w:adjustRightInd w:val="0"/>
            </w:pPr>
            <w:r>
              <w:t>Coarse</w:t>
            </w:r>
          </w:p>
        </w:tc>
        <w:tc>
          <w:tcPr>
            <w:tcW w:w="1980" w:type="dxa"/>
          </w:tcPr>
          <w:p w:rsidR="00D41341" w:rsidRPr="00B53407" w:rsidRDefault="00D41341" w:rsidP="00F07B2C">
            <w:pPr>
              <w:autoSpaceDE w:val="0"/>
              <w:autoSpaceDN w:val="0"/>
              <w:adjustRightInd w:val="0"/>
              <w:rPr>
                <w:color w:val="FFC000"/>
              </w:rPr>
            </w:pPr>
            <w:r>
              <w:t>21</w:t>
            </w:r>
          </w:p>
        </w:tc>
        <w:tc>
          <w:tcPr>
            <w:tcW w:w="1980" w:type="dxa"/>
          </w:tcPr>
          <w:p w:rsidR="00D41341" w:rsidRPr="00B53407" w:rsidRDefault="00D41341" w:rsidP="00F07B2C">
            <w:pPr>
              <w:autoSpaceDE w:val="0"/>
              <w:autoSpaceDN w:val="0"/>
              <w:adjustRightInd w:val="0"/>
              <w:rPr>
                <w:color w:val="FFC000"/>
              </w:rPr>
            </w:pPr>
            <w:r>
              <w:t>23</w:t>
            </w:r>
          </w:p>
        </w:tc>
        <w:tc>
          <w:tcPr>
            <w:tcW w:w="1620" w:type="dxa"/>
          </w:tcPr>
          <w:p w:rsidR="00D41341" w:rsidRPr="00B53407" w:rsidRDefault="00D41341" w:rsidP="00D41341">
            <w:pPr>
              <w:autoSpaceDE w:val="0"/>
              <w:autoSpaceDN w:val="0"/>
              <w:adjustRightInd w:val="0"/>
              <w:rPr>
                <w:color w:val="FFC000"/>
              </w:rPr>
            </w:pPr>
            <w:r>
              <w:t>4</w:t>
            </w:r>
          </w:p>
        </w:tc>
      </w:tr>
    </w:tbl>
    <w:p w:rsidR="00BB658A" w:rsidRDefault="00BB658A" w:rsidP="00E40F4A">
      <w:pPr>
        <w:autoSpaceDE w:val="0"/>
        <w:autoSpaceDN w:val="0"/>
        <w:adjustRightInd w:val="0"/>
      </w:pPr>
    </w:p>
    <w:p w:rsidR="00F90F49" w:rsidRDefault="006A45A2" w:rsidP="00E40F4A">
      <w:pPr>
        <w:autoSpaceDE w:val="0"/>
        <w:autoSpaceDN w:val="0"/>
        <w:adjustRightInd w:val="0"/>
        <w:rPr>
          <w:rFonts w:eastAsia="LiberationSerif"/>
          <w:color w:val="000000"/>
        </w:rPr>
      </w:pPr>
      <w:r>
        <w:t>102.</w:t>
      </w:r>
      <w:r w:rsidRPr="00F90F49">
        <w:t xml:space="preserve"> </w:t>
      </w:r>
      <w:r w:rsidRPr="00F90F49">
        <w:rPr>
          <w:rFonts w:eastAsia="LiberationSerif"/>
          <w:color w:val="000000"/>
        </w:rPr>
        <w:t>Do men and women select different breakfasts? The breakfasts ordered by randomly selected men and women at a</w:t>
      </w:r>
      <w:r>
        <w:rPr>
          <w:rFonts w:eastAsia="LiberationSerif"/>
          <w:color w:val="000000"/>
        </w:rPr>
        <w:t xml:space="preserve"> </w:t>
      </w:r>
      <w:r w:rsidRPr="00F90F49">
        <w:rPr>
          <w:rFonts w:eastAsia="LiberationSerif"/>
          <w:color w:val="000000"/>
        </w:rPr>
        <w:t xml:space="preserve">popular breakfast place is shown in </w:t>
      </w:r>
      <w:r w:rsidRPr="00F90F49">
        <w:rPr>
          <w:rFonts w:eastAsia="LiberationSans,Bold"/>
          <w:b/>
          <w:bCs/>
          <w:color w:val="26397F"/>
        </w:rPr>
        <w:t>Table 11.55</w:t>
      </w:r>
      <w:r w:rsidRPr="00F90F49">
        <w:rPr>
          <w:rFonts w:eastAsia="LiberationSerif"/>
          <w:color w:val="000000"/>
        </w:rPr>
        <w:t>. Conduct a test for homogeneity at a 5% level of significance.</w:t>
      </w:r>
    </w:p>
    <w:p w:rsidR="00E40F4A" w:rsidRDefault="00E40F4A" w:rsidP="00E40F4A">
      <w:pPr>
        <w:autoSpaceDE w:val="0"/>
        <w:autoSpaceDN w:val="0"/>
        <w:adjustRightInd w:val="0"/>
        <w:rPr>
          <w:rFonts w:eastAsia="LiberationSerif"/>
          <w:color w:val="000000"/>
        </w:rPr>
      </w:pPr>
    </w:p>
    <w:tbl>
      <w:tblPr>
        <w:tblStyle w:val="TableGrid"/>
        <w:tblW w:w="9108" w:type="dxa"/>
        <w:jc w:val="center"/>
        <w:tblLook w:val="04A0" w:firstRow="1" w:lastRow="0" w:firstColumn="1" w:lastColumn="0" w:noHBand="0" w:noVBand="1"/>
      </w:tblPr>
      <w:tblGrid>
        <w:gridCol w:w="1016"/>
        <w:gridCol w:w="2003"/>
        <w:gridCol w:w="2003"/>
        <w:gridCol w:w="2003"/>
        <w:gridCol w:w="2083"/>
      </w:tblGrid>
      <w:tr w:rsidR="00B3145D" w:rsidTr="00B3145D">
        <w:trPr>
          <w:jc w:val="center"/>
        </w:trPr>
        <w:tc>
          <w:tcPr>
            <w:tcW w:w="1016" w:type="dxa"/>
          </w:tcPr>
          <w:p w:rsidR="00B3145D" w:rsidRDefault="00B3145D" w:rsidP="00C629DD">
            <w:pPr>
              <w:autoSpaceDE w:val="0"/>
              <w:autoSpaceDN w:val="0"/>
              <w:adjustRightInd w:val="0"/>
            </w:pPr>
          </w:p>
        </w:tc>
        <w:tc>
          <w:tcPr>
            <w:tcW w:w="2003" w:type="dxa"/>
          </w:tcPr>
          <w:p w:rsidR="00B3145D" w:rsidRPr="00F90F49" w:rsidRDefault="00B3145D" w:rsidP="00C629DD">
            <w:pPr>
              <w:autoSpaceDE w:val="0"/>
              <w:autoSpaceDN w:val="0"/>
              <w:adjustRightInd w:val="0"/>
              <w:rPr>
                <w:b/>
              </w:rPr>
            </w:pPr>
            <w:r w:rsidRPr="00F90F49">
              <w:rPr>
                <w:b/>
              </w:rPr>
              <w:t>French Toast</w:t>
            </w:r>
          </w:p>
        </w:tc>
        <w:tc>
          <w:tcPr>
            <w:tcW w:w="2003" w:type="dxa"/>
          </w:tcPr>
          <w:p w:rsidR="00B3145D" w:rsidRPr="00F90F49" w:rsidRDefault="00B3145D" w:rsidP="00C629DD">
            <w:pPr>
              <w:autoSpaceDE w:val="0"/>
              <w:autoSpaceDN w:val="0"/>
              <w:adjustRightInd w:val="0"/>
              <w:rPr>
                <w:b/>
              </w:rPr>
            </w:pPr>
            <w:r w:rsidRPr="00F90F49">
              <w:rPr>
                <w:b/>
              </w:rPr>
              <w:t>Pancakes</w:t>
            </w:r>
          </w:p>
        </w:tc>
        <w:tc>
          <w:tcPr>
            <w:tcW w:w="2003" w:type="dxa"/>
          </w:tcPr>
          <w:p w:rsidR="00B3145D" w:rsidRPr="00F90F49" w:rsidRDefault="00B3145D" w:rsidP="00B3145D">
            <w:pPr>
              <w:autoSpaceDE w:val="0"/>
              <w:autoSpaceDN w:val="0"/>
              <w:adjustRightInd w:val="0"/>
              <w:rPr>
                <w:b/>
              </w:rPr>
            </w:pPr>
            <w:r w:rsidRPr="00F90F49">
              <w:rPr>
                <w:b/>
              </w:rPr>
              <w:t>Waffles</w:t>
            </w:r>
          </w:p>
        </w:tc>
        <w:tc>
          <w:tcPr>
            <w:tcW w:w="2083" w:type="dxa"/>
          </w:tcPr>
          <w:p w:rsidR="00B3145D" w:rsidRPr="00F90F49" w:rsidRDefault="00B3145D" w:rsidP="00B3145D">
            <w:pPr>
              <w:autoSpaceDE w:val="0"/>
              <w:autoSpaceDN w:val="0"/>
              <w:adjustRightInd w:val="0"/>
              <w:rPr>
                <w:b/>
              </w:rPr>
            </w:pPr>
            <w:r w:rsidRPr="00F90F49">
              <w:rPr>
                <w:b/>
              </w:rPr>
              <w:t>Omelettes</w:t>
            </w:r>
          </w:p>
        </w:tc>
      </w:tr>
      <w:tr w:rsidR="00B3145D" w:rsidTr="00B3145D">
        <w:trPr>
          <w:jc w:val="center"/>
        </w:trPr>
        <w:tc>
          <w:tcPr>
            <w:tcW w:w="1016" w:type="dxa"/>
          </w:tcPr>
          <w:p w:rsidR="00B3145D" w:rsidRPr="00F90F49" w:rsidRDefault="00B3145D" w:rsidP="00C629DD">
            <w:pPr>
              <w:autoSpaceDE w:val="0"/>
              <w:autoSpaceDN w:val="0"/>
              <w:adjustRightInd w:val="0"/>
              <w:rPr>
                <w:b/>
              </w:rPr>
            </w:pPr>
            <w:r>
              <w:rPr>
                <w:b/>
              </w:rPr>
              <w:t>Men</w:t>
            </w:r>
          </w:p>
        </w:tc>
        <w:tc>
          <w:tcPr>
            <w:tcW w:w="2003" w:type="dxa"/>
          </w:tcPr>
          <w:p w:rsidR="00B3145D" w:rsidRPr="008603FC" w:rsidRDefault="00B3145D" w:rsidP="00C629DD">
            <w:pPr>
              <w:autoSpaceDE w:val="0"/>
              <w:autoSpaceDN w:val="0"/>
              <w:adjustRightInd w:val="0"/>
              <w:rPr>
                <w:color w:val="00B0F0"/>
              </w:rPr>
            </w:pPr>
            <w:r>
              <w:t>47</w:t>
            </w:r>
          </w:p>
        </w:tc>
        <w:tc>
          <w:tcPr>
            <w:tcW w:w="2003" w:type="dxa"/>
          </w:tcPr>
          <w:p w:rsidR="00B3145D" w:rsidRDefault="00B3145D" w:rsidP="00B3145D">
            <w:pPr>
              <w:autoSpaceDE w:val="0"/>
              <w:autoSpaceDN w:val="0"/>
              <w:adjustRightInd w:val="0"/>
            </w:pPr>
            <w:r>
              <w:t>35</w:t>
            </w:r>
          </w:p>
        </w:tc>
        <w:tc>
          <w:tcPr>
            <w:tcW w:w="2003" w:type="dxa"/>
          </w:tcPr>
          <w:p w:rsidR="00B3145D" w:rsidRDefault="00B3145D" w:rsidP="00B3145D">
            <w:pPr>
              <w:autoSpaceDE w:val="0"/>
              <w:autoSpaceDN w:val="0"/>
              <w:adjustRightInd w:val="0"/>
            </w:pPr>
            <w:r>
              <w:t>28</w:t>
            </w:r>
          </w:p>
        </w:tc>
        <w:tc>
          <w:tcPr>
            <w:tcW w:w="2083" w:type="dxa"/>
          </w:tcPr>
          <w:p w:rsidR="00B3145D" w:rsidRDefault="00B3145D" w:rsidP="00B3145D">
            <w:pPr>
              <w:autoSpaceDE w:val="0"/>
              <w:autoSpaceDN w:val="0"/>
              <w:adjustRightInd w:val="0"/>
            </w:pPr>
            <w:r>
              <w:t>53</w:t>
            </w:r>
          </w:p>
        </w:tc>
      </w:tr>
      <w:tr w:rsidR="00B3145D" w:rsidTr="00B3145D">
        <w:trPr>
          <w:jc w:val="center"/>
        </w:trPr>
        <w:tc>
          <w:tcPr>
            <w:tcW w:w="1016" w:type="dxa"/>
          </w:tcPr>
          <w:p w:rsidR="00B3145D" w:rsidRPr="00F90F49" w:rsidRDefault="00B3145D" w:rsidP="00C629DD">
            <w:pPr>
              <w:autoSpaceDE w:val="0"/>
              <w:autoSpaceDN w:val="0"/>
              <w:adjustRightInd w:val="0"/>
              <w:rPr>
                <w:b/>
              </w:rPr>
            </w:pPr>
            <w:r w:rsidRPr="00F90F49">
              <w:rPr>
                <w:b/>
              </w:rPr>
              <w:t>Women</w:t>
            </w:r>
          </w:p>
        </w:tc>
        <w:tc>
          <w:tcPr>
            <w:tcW w:w="2003" w:type="dxa"/>
          </w:tcPr>
          <w:p w:rsidR="00B3145D" w:rsidRDefault="00B3145D" w:rsidP="00B3145D">
            <w:pPr>
              <w:autoSpaceDE w:val="0"/>
              <w:autoSpaceDN w:val="0"/>
              <w:adjustRightInd w:val="0"/>
            </w:pPr>
            <w:r>
              <w:t xml:space="preserve">65 </w:t>
            </w:r>
          </w:p>
        </w:tc>
        <w:tc>
          <w:tcPr>
            <w:tcW w:w="2003" w:type="dxa"/>
          </w:tcPr>
          <w:p w:rsidR="00B3145D" w:rsidRDefault="00B3145D" w:rsidP="00B3145D">
            <w:pPr>
              <w:autoSpaceDE w:val="0"/>
              <w:autoSpaceDN w:val="0"/>
              <w:adjustRightInd w:val="0"/>
            </w:pPr>
            <w:r>
              <w:t>59</w:t>
            </w:r>
          </w:p>
        </w:tc>
        <w:tc>
          <w:tcPr>
            <w:tcW w:w="2003" w:type="dxa"/>
          </w:tcPr>
          <w:p w:rsidR="00B3145D" w:rsidRDefault="00B3145D" w:rsidP="00B3145D">
            <w:pPr>
              <w:autoSpaceDE w:val="0"/>
              <w:autoSpaceDN w:val="0"/>
              <w:adjustRightInd w:val="0"/>
            </w:pPr>
            <w:r>
              <w:t>55</w:t>
            </w:r>
          </w:p>
        </w:tc>
        <w:tc>
          <w:tcPr>
            <w:tcW w:w="2083" w:type="dxa"/>
          </w:tcPr>
          <w:p w:rsidR="00B3145D" w:rsidRDefault="00B3145D" w:rsidP="00B3145D">
            <w:pPr>
              <w:autoSpaceDE w:val="0"/>
              <w:autoSpaceDN w:val="0"/>
              <w:adjustRightInd w:val="0"/>
            </w:pPr>
            <w:r>
              <w:t>60</w:t>
            </w:r>
          </w:p>
        </w:tc>
      </w:tr>
    </w:tbl>
    <w:p w:rsidR="00E40F4A" w:rsidRDefault="00E40F4A" w:rsidP="00E40F4A">
      <w:pPr>
        <w:autoSpaceDE w:val="0"/>
        <w:autoSpaceDN w:val="0"/>
        <w:adjustRightInd w:val="0"/>
        <w:rPr>
          <w:rFonts w:eastAsia="LiberationSerif"/>
          <w:color w:val="000000"/>
        </w:rPr>
      </w:pPr>
    </w:p>
    <w:p w:rsidR="00BB658A" w:rsidRDefault="00BB658A">
      <w:r>
        <w:br w:type="page"/>
      </w:r>
    </w:p>
    <w:p w:rsidR="002E6C14" w:rsidRDefault="002E6C14" w:rsidP="002E6C14">
      <w:pPr>
        <w:autoSpaceDE w:val="0"/>
        <w:autoSpaceDN w:val="0"/>
        <w:adjustRightInd w:val="0"/>
      </w:pPr>
      <w:r>
        <w:lastRenderedPageBreak/>
        <w:t xml:space="preserve">82. </w:t>
      </w:r>
    </w:p>
    <w:p w:rsidR="006A45A2" w:rsidRDefault="006A45A2" w:rsidP="006A45A2">
      <w:pPr>
        <w:autoSpaceDE w:val="0"/>
        <w:autoSpaceDN w:val="0"/>
        <w:adjustRightInd w:val="0"/>
      </w:pPr>
    </w:p>
    <w:tbl>
      <w:tblPr>
        <w:tblStyle w:val="TableGrid"/>
        <w:tblW w:w="0" w:type="auto"/>
        <w:tblLook w:val="04A0" w:firstRow="1" w:lastRow="0" w:firstColumn="1" w:lastColumn="0" w:noHBand="0" w:noVBand="1"/>
      </w:tblPr>
      <w:tblGrid>
        <w:gridCol w:w="1636"/>
        <w:gridCol w:w="1116"/>
        <w:gridCol w:w="3192"/>
      </w:tblGrid>
      <w:tr w:rsidR="006A45A2" w:rsidTr="006A45A2">
        <w:tc>
          <w:tcPr>
            <w:tcW w:w="1636" w:type="dxa"/>
          </w:tcPr>
          <w:p w:rsidR="006A45A2" w:rsidRDefault="006A45A2" w:rsidP="006A45A2">
            <w:pPr>
              <w:autoSpaceDE w:val="0"/>
              <w:autoSpaceDN w:val="0"/>
              <w:adjustRightInd w:val="0"/>
            </w:pPr>
            <w:r>
              <w:t>Size (ounces)</w:t>
            </w:r>
          </w:p>
        </w:tc>
        <w:tc>
          <w:tcPr>
            <w:tcW w:w="1116" w:type="dxa"/>
          </w:tcPr>
          <w:p w:rsidR="006A45A2" w:rsidRDefault="006A45A2" w:rsidP="006A45A2">
            <w:pPr>
              <w:autoSpaceDE w:val="0"/>
              <w:autoSpaceDN w:val="0"/>
              <w:adjustRightInd w:val="0"/>
            </w:pPr>
            <w:r>
              <w:t>Cost ($)</w:t>
            </w:r>
          </w:p>
        </w:tc>
        <w:tc>
          <w:tcPr>
            <w:tcW w:w="3192" w:type="dxa"/>
          </w:tcPr>
          <w:p w:rsidR="006A45A2" w:rsidRDefault="006A45A2" w:rsidP="006A45A2">
            <w:pPr>
              <w:autoSpaceDE w:val="0"/>
              <w:autoSpaceDN w:val="0"/>
              <w:adjustRightInd w:val="0"/>
            </w:pPr>
            <w:r>
              <w:t>Cost per ounce</w:t>
            </w:r>
          </w:p>
        </w:tc>
      </w:tr>
      <w:tr w:rsidR="006A45A2" w:rsidTr="006A45A2">
        <w:tc>
          <w:tcPr>
            <w:tcW w:w="1636" w:type="dxa"/>
          </w:tcPr>
          <w:p w:rsidR="006A45A2" w:rsidRDefault="006A45A2" w:rsidP="006A45A2">
            <w:pPr>
              <w:autoSpaceDE w:val="0"/>
              <w:autoSpaceDN w:val="0"/>
              <w:adjustRightInd w:val="0"/>
            </w:pPr>
            <w:r>
              <w:t>16</w:t>
            </w:r>
          </w:p>
        </w:tc>
        <w:tc>
          <w:tcPr>
            <w:tcW w:w="1116" w:type="dxa"/>
          </w:tcPr>
          <w:p w:rsidR="006A45A2" w:rsidRDefault="006A45A2" w:rsidP="006A45A2">
            <w:pPr>
              <w:autoSpaceDE w:val="0"/>
              <w:autoSpaceDN w:val="0"/>
              <w:adjustRightInd w:val="0"/>
            </w:pPr>
            <w:r>
              <w:t>3.99</w:t>
            </w:r>
          </w:p>
        </w:tc>
        <w:tc>
          <w:tcPr>
            <w:tcW w:w="3192" w:type="dxa"/>
          </w:tcPr>
          <w:p w:rsidR="006A45A2" w:rsidRDefault="006A45A2" w:rsidP="006A45A2">
            <w:pPr>
              <w:autoSpaceDE w:val="0"/>
              <w:autoSpaceDN w:val="0"/>
              <w:adjustRightInd w:val="0"/>
            </w:pPr>
          </w:p>
        </w:tc>
      </w:tr>
      <w:tr w:rsidR="006A45A2" w:rsidTr="006A45A2">
        <w:tc>
          <w:tcPr>
            <w:tcW w:w="1636" w:type="dxa"/>
          </w:tcPr>
          <w:p w:rsidR="006A45A2" w:rsidRDefault="006A45A2" w:rsidP="006A45A2">
            <w:pPr>
              <w:autoSpaceDE w:val="0"/>
              <w:autoSpaceDN w:val="0"/>
              <w:adjustRightInd w:val="0"/>
            </w:pPr>
            <w:r>
              <w:t>32</w:t>
            </w:r>
          </w:p>
        </w:tc>
        <w:tc>
          <w:tcPr>
            <w:tcW w:w="1116" w:type="dxa"/>
          </w:tcPr>
          <w:p w:rsidR="006A45A2" w:rsidRDefault="006A45A2" w:rsidP="006A45A2">
            <w:pPr>
              <w:autoSpaceDE w:val="0"/>
              <w:autoSpaceDN w:val="0"/>
              <w:adjustRightInd w:val="0"/>
            </w:pPr>
            <w:r>
              <w:t>4.99</w:t>
            </w:r>
          </w:p>
        </w:tc>
        <w:tc>
          <w:tcPr>
            <w:tcW w:w="3192" w:type="dxa"/>
          </w:tcPr>
          <w:p w:rsidR="006A45A2" w:rsidRDefault="006A45A2" w:rsidP="006A45A2">
            <w:pPr>
              <w:autoSpaceDE w:val="0"/>
              <w:autoSpaceDN w:val="0"/>
              <w:adjustRightInd w:val="0"/>
            </w:pPr>
          </w:p>
        </w:tc>
      </w:tr>
      <w:tr w:rsidR="006A45A2" w:rsidTr="006A45A2">
        <w:tc>
          <w:tcPr>
            <w:tcW w:w="1636" w:type="dxa"/>
          </w:tcPr>
          <w:p w:rsidR="006A45A2" w:rsidRDefault="006A45A2" w:rsidP="006A45A2">
            <w:pPr>
              <w:autoSpaceDE w:val="0"/>
              <w:autoSpaceDN w:val="0"/>
              <w:adjustRightInd w:val="0"/>
            </w:pPr>
            <w:r>
              <w:t>64</w:t>
            </w:r>
          </w:p>
        </w:tc>
        <w:tc>
          <w:tcPr>
            <w:tcW w:w="1116" w:type="dxa"/>
          </w:tcPr>
          <w:p w:rsidR="006A45A2" w:rsidRDefault="006A45A2" w:rsidP="006A45A2">
            <w:pPr>
              <w:autoSpaceDE w:val="0"/>
              <w:autoSpaceDN w:val="0"/>
              <w:adjustRightInd w:val="0"/>
            </w:pPr>
            <w:r>
              <w:t>5.99</w:t>
            </w:r>
          </w:p>
        </w:tc>
        <w:tc>
          <w:tcPr>
            <w:tcW w:w="3192" w:type="dxa"/>
          </w:tcPr>
          <w:p w:rsidR="006A45A2" w:rsidRDefault="006A45A2" w:rsidP="006A45A2">
            <w:pPr>
              <w:autoSpaceDE w:val="0"/>
              <w:autoSpaceDN w:val="0"/>
              <w:adjustRightInd w:val="0"/>
            </w:pPr>
          </w:p>
        </w:tc>
      </w:tr>
      <w:tr w:rsidR="006A45A2" w:rsidTr="006A45A2">
        <w:tc>
          <w:tcPr>
            <w:tcW w:w="1636" w:type="dxa"/>
          </w:tcPr>
          <w:p w:rsidR="006A45A2" w:rsidRDefault="006A45A2" w:rsidP="006A45A2">
            <w:pPr>
              <w:autoSpaceDE w:val="0"/>
              <w:autoSpaceDN w:val="0"/>
              <w:adjustRightInd w:val="0"/>
            </w:pPr>
            <w:r>
              <w:t>200</w:t>
            </w:r>
          </w:p>
        </w:tc>
        <w:tc>
          <w:tcPr>
            <w:tcW w:w="1116" w:type="dxa"/>
          </w:tcPr>
          <w:p w:rsidR="006A45A2" w:rsidRDefault="006A45A2" w:rsidP="006A45A2">
            <w:pPr>
              <w:autoSpaceDE w:val="0"/>
              <w:autoSpaceDN w:val="0"/>
              <w:adjustRightInd w:val="0"/>
            </w:pPr>
            <w:r>
              <w:t>10.99</w:t>
            </w:r>
          </w:p>
        </w:tc>
        <w:tc>
          <w:tcPr>
            <w:tcW w:w="3192" w:type="dxa"/>
          </w:tcPr>
          <w:p w:rsidR="006A45A2" w:rsidRDefault="006A45A2" w:rsidP="006A45A2">
            <w:pPr>
              <w:autoSpaceDE w:val="0"/>
              <w:autoSpaceDN w:val="0"/>
              <w:adjustRightInd w:val="0"/>
            </w:pPr>
          </w:p>
        </w:tc>
      </w:tr>
    </w:tbl>
    <w:p w:rsidR="006A45A2" w:rsidRDefault="00D25AAB" w:rsidP="00D25AAB">
      <w:pPr>
        <w:tabs>
          <w:tab w:val="left" w:pos="910"/>
        </w:tabs>
        <w:autoSpaceDE w:val="0"/>
        <w:autoSpaceDN w:val="0"/>
        <w:adjustRightInd w:val="0"/>
      </w:pPr>
      <w:r>
        <w:tab/>
      </w:r>
    </w:p>
    <w:p w:rsidR="006A45A2" w:rsidRPr="006A45A2" w:rsidRDefault="006A45A2" w:rsidP="006A45A2">
      <w:pPr>
        <w:autoSpaceDE w:val="0"/>
        <w:autoSpaceDN w:val="0"/>
        <w:adjustRightInd w:val="0"/>
        <w:rPr>
          <w:rFonts w:eastAsia="LiberationSerif"/>
        </w:rPr>
      </w:pPr>
      <w:r w:rsidRPr="006A45A2">
        <w:rPr>
          <w:rFonts w:eastAsia="LiberationSans"/>
        </w:rPr>
        <w:t xml:space="preserve">a. </w:t>
      </w:r>
      <w:r w:rsidRPr="006A45A2">
        <w:rPr>
          <w:rFonts w:eastAsia="LiberationSerif"/>
        </w:rPr>
        <w:t>Using “size” as the independent variable and “cost” as the dependent variable, draw a scatter plot.</w:t>
      </w:r>
      <w:r w:rsidR="00455428" w:rsidRPr="00455428">
        <w:rPr>
          <w:rFonts w:eastAsia="LiberationSerif"/>
          <w:noProof/>
        </w:rPr>
        <w:t xml:space="preserve"> </w:t>
      </w:r>
    </w:p>
    <w:p w:rsidR="00D25AAB" w:rsidRPr="006A45A2" w:rsidRDefault="006A45A2" w:rsidP="006A45A2">
      <w:pPr>
        <w:autoSpaceDE w:val="0"/>
        <w:autoSpaceDN w:val="0"/>
        <w:adjustRightInd w:val="0"/>
        <w:rPr>
          <w:rFonts w:eastAsia="LiberationSerif"/>
        </w:rPr>
      </w:pPr>
      <w:r w:rsidRPr="006A45A2">
        <w:rPr>
          <w:rFonts w:eastAsia="LiberationSans"/>
        </w:rPr>
        <w:t xml:space="preserve">b. </w:t>
      </w:r>
      <w:r w:rsidRPr="006A45A2">
        <w:rPr>
          <w:rFonts w:eastAsia="LiberationSerif"/>
        </w:rPr>
        <w:t>Does it appear from inspection that there is a relationship between the variables? Why or why not?</w:t>
      </w:r>
    </w:p>
    <w:p w:rsidR="006A45A2" w:rsidRPr="006A45A2" w:rsidRDefault="006A45A2" w:rsidP="006A45A2">
      <w:pPr>
        <w:autoSpaceDE w:val="0"/>
        <w:autoSpaceDN w:val="0"/>
        <w:adjustRightInd w:val="0"/>
        <w:rPr>
          <w:rFonts w:eastAsia="LiberationSerif,Italic"/>
          <w:i/>
          <w:iCs/>
        </w:rPr>
      </w:pPr>
      <w:r w:rsidRPr="006A45A2">
        <w:rPr>
          <w:rFonts w:eastAsia="LiberationSans"/>
        </w:rPr>
        <w:t xml:space="preserve">c. </w:t>
      </w:r>
      <w:r w:rsidRPr="006A45A2">
        <w:rPr>
          <w:rFonts w:eastAsia="LiberationSerif"/>
        </w:rPr>
        <w:t xml:space="preserve">Calculate the least-squares line. Put the equation in the form of: </w:t>
      </w:r>
      <w:r w:rsidRPr="006A45A2">
        <w:rPr>
          <w:rFonts w:eastAsia="LiberationSerif,Italic"/>
          <w:i/>
          <w:iCs/>
        </w:rPr>
        <w:t xml:space="preserve">ŷ </w:t>
      </w:r>
      <w:r w:rsidRPr="006A45A2">
        <w:rPr>
          <w:rFonts w:eastAsia="LiberationSerif"/>
        </w:rPr>
        <w:t xml:space="preserve">= </w:t>
      </w:r>
      <w:r w:rsidRPr="006A45A2">
        <w:rPr>
          <w:rFonts w:eastAsia="LiberationSerif,Italic"/>
          <w:i/>
          <w:iCs/>
        </w:rPr>
        <w:t xml:space="preserve">a </w:t>
      </w:r>
      <w:r w:rsidRPr="006A45A2">
        <w:rPr>
          <w:rFonts w:eastAsia="LiberationSerif"/>
        </w:rPr>
        <w:t xml:space="preserve">+ </w:t>
      </w:r>
      <w:r w:rsidRPr="006A45A2">
        <w:rPr>
          <w:rFonts w:eastAsia="LiberationSerif,Italic"/>
          <w:i/>
          <w:iCs/>
        </w:rPr>
        <w:t>bx</w:t>
      </w:r>
    </w:p>
    <w:p w:rsidR="006A45A2" w:rsidRPr="006A45A2" w:rsidRDefault="006A45A2" w:rsidP="006A45A2">
      <w:pPr>
        <w:autoSpaceDE w:val="0"/>
        <w:autoSpaceDN w:val="0"/>
        <w:adjustRightInd w:val="0"/>
        <w:rPr>
          <w:rFonts w:eastAsia="LiberationSerif"/>
        </w:rPr>
      </w:pPr>
      <w:r w:rsidRPr="006A45A2">
        <w:rPr>
          <w:rFonts w:eastAsia="LiberationSans"/>
        </w:rPr>
        <w:t xml:space="preserve">d. </w:t>
      </w:r>
      <w:r w:rsidRPr="006A45A2">
        <w:rPr>
          <w:rFonts w:eastAsia="LiberationSerif"/>
        </w:rPr>
        <w:t>Find the correlation coefficient. Is it significant?</w:t>
      </w:r>
    </w:p>
    <w:p w:rsidR="006A45A2" w:rsidRPr="006A45A2" w:rsidRDefault="006A45A2" w:rsidP="006A45A2">
      <w:pPr>
        <w:autoSpaceDE w:val="0"/>
        <w:autoSpaceDN w:val="0"/>
        <w:adjustRightInd w:val="0"/>
        <w:rPr>
          <w:rFonts w:eastAsia="LiberationSerif"/>
        </w:rPr>
      </w:pPr>
      <w:r w:rsidRPr="006A45A2">
        <w:rPr>
          <w:rFonts w:eastAsia="LiberationSans"/>
        </w:rPr>
        <w:t xml:space="preserve">e. </w:t>
      </w:r>
      <w:r w:rsidRPr="006A45A2">
        <w:rPr>
          <w:rFonts w:eastAsia="LiberationSerif"/>
        </w:rPr>
        <w:t>If the laundry detergent were sold in a 40-ounce size, find the estimated cost.</w:t>
      </w:r>
    </w:p>
    <w:p w:rsidR="006A45A2" w:rsidRPr="006A45A2" w:rsidRDefault="006A45A2" w:rsidP="006A45A2">
      <w:pPr>
        <w:autoSpaceDE w:val="0"/>
        <w:autoSpaceDN w:val="0"/>
        <w:adjustRightInd w:val="0"/>
        <w:rPr>
          <w:rFonts w:eastAsia="LiberationSerif"/>
        </w:rPr>
      </w:pPr>
      <w:r w:rsidRPr="006A45A2">
        <w:rPr>
          <w:rFonts w:eastAsia="LiberationSans"/>
        </w:rPr>
        <w:t xml:space="preserve">f. </w:t>
      </w:r>
      <w:r w:rsidRPr="006A45A2">
        <w:rPr>
          <w:rFonts w:eastAsia="LiberationSerif"/>
        </w:rPr>
        <w:t>If the laundry detergent were sold in a 90-ounce size, find the estimated cost.</w:t>
      </w:r>
    </w:p>
    <w:p w:rsidR="006A45A2" w:rsidRPr="006A45A2" w:rsidRDefault="006A45A2" w:rsidP="006A45A2">
      <w:pPr>
        <w:autoSpaceDE w:val="0"/>
        <w:autoSpaceDN w:val="0"/>
        <w:adjustRightInd w:val="0"/>
        <w:rPr>
          <w:rFonts w:eastAsia="LiberationSerif"/>
        </w:rPr>
      </w:pPr>
      <w:r w:rsidRPr="006A45A2">
        <w:rPr>
          <w:rFonts w:eastAsia="LiberationSans"/>
        </w:rPr>
        <w:t xml:space="preserve">g. </w:t>
      </w:r>
      <w:r w:rsidRPr="006A45A2">
        <w:rPr>
          <w:rFonts w:eastAsia="LiberationSerif"/>
        </w:rPr>
        <w:t>Does it appear that a line is the best way to fit the data? Why or why not?</w:t>
      </w:r>
    </w:p>
    <w:p w:rsidR="006A45A2" w:rsidRPr="006A45A2" w:rsidRDefault="006A45A2" w:rsidP="006A45A2">
      <w:pPr>
        <w:autoSpaceDE w:val="0"/>
        <w:autoSpaceDN w:val="0"/>
        <w:adjustRightInd w:val="0"/>
        <w:rPr>
          <w:rFonts w:eastAsia="LiberationSerif"/>
        </w:rPr>
      </w:pPr>
      <w:r w:rsidRPr="006A45A2">
        <w:rPr>
          <w:rFonts w:eastAsia="LiberationSans"/>
        </w:rPr>
        <w:t xml:space="preserve">h. </w:t>
      </w:r>
      <w:r w:rsidRPr="006A45A2">
        <w:rPr>
          <w:rFonts w:eastAsia="LiberationSerif"/>
        </w:rPr>
        <w:t>Are there any outliers in the given data?</w:t>
      </w:r>
    </w:p>
    <w:p w:rsidR="006A45A2" w:rsidRPr="006A45A2" w:rsidRDefault="006A45A2" w:rsidP="006A45A2">
      <w:pPr>
        <w:autoSpaceDE w:val="0"/>
        <w:autoSpaceDN w:val="0"/>
        <w:adjustRightInd w:val="0"/>
        <w:rPr>
          <w:rFonts w:eastAsia="LiberationSerif"/>
        </w:rPr>
      </w:pPr>
      <w:r w:rsidRPr="006A45A2">
        <w:rPr>
          <w:rFonts w:eastAsia="LiberationSans"/>
        </w:rPr>
        <w:t xml:space="preserve">i. </w:t>
      </w:r>
      <w:r w:rsidRPr="006A45A2">
        <w:rPr>
          <w:rFonts w:eastAsia="LiberationSerif"/>
        </w:rPr>
        <w:t>Is the least-squares line valid for predicting what a 300-ounce size of the laundry detergent would you cost? Why</w:t>
      </w:r>
      <w:r w:rsidR="00DB1038">
        <w:rPr>
          <w:rFonts w:eastAsia="LiberationSerif"/>
        </w:rPr>
        <w:t xml:space="preserve"> </w:t>
      </w:r>
      <w:bookmarkStart w:id="0" w:name="_GoBack"/>
      <w:bookmarkEnd w:id="0"/>
      <w:r w:rsidRPr="006A45A2">
        <w:rPr>
          <w:rFonts w:eastAsia="LiberationSerif"/>
        </w:rPr>
        <w:t>or why not?</w:t>
      </w:r>
    </w:p>
    <w:p w:rsidR="00F90F49" w:rsidRPr="006A45A2" w:rsidRDefault="006A45A2" w:rsidP="006A45A2">
      <w:pPr>
        <w:autoSpaceDE w:val="0"/>
        <w:autoSpaceDN w:val="0"/>
        <w:adjustRightInd w:val="0"/>
      </w:pPr>
      <w:r w:rsidRPr="006A45A2">
        <w:rPr>
          <w:rFonts w:eastAsia="LiberationSans"/>
        </w:rPr>
        <w:t xml:space="preserve">j. </w:t>
      </w:r>
      <w:r w:rsidRPr="006A45A2">
        <w:rPr>
          <w:rFonts w:eastAsia="LiberationSerif"/>
        </w:rPr>
        <w:t>What is the slope of the least-squares (best-fit) line? Interpret the slope.</w:t>
      </w:r>
    </w:p>
    <w:sectPr w:rsidR="00F90F49" w:rsidRPr="006A45A2" w:rsidSect="00FF5A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447" w:rsidRDefault="00E73447" w:rsidP="00D41341">
      <w:r>
        <w:separator/>
      </w:r>
    </w:p>
  </w:endnote>
  <w:endnote w:type="continuationSeparator" w:id="0">
    <w:p w:rsidR="00E73447" w:rsidRDefault="00E73447" w:rsidP="00D4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LiberationSans,Bold">
    <w:altName w:val="MS Mincho"/>
    <w:panose1 w:val="00000000000000000000"/>
    <w:charset w:val="80"/>
    <w:family w:val="auto"/>
    <w:notTrueType/>
    <w:pitch w:val="default"/>
    <w:sig w:usb0="00000001" w:usb1="08070000" w:usb2="00000010" w:usb3="00000000" w:csb0="00020000" w:csb1="00000000"/>
  </w:font>
  <w:font w:name="LiberationSans">
    <w:altName w:val="MS Mincho"/>
    <w:panose1 w:val="00000000000000000000"/>
    <w:charset w:val="80"/>
    <w:family w:val="auto"/>
    <w:notTrueType/>
    <w:pitch w:val="default"/>
    <w:sig w:usb0="00000001" w:usb1="08070000" w:usb2="00000010" w:usb3="00000000" w:csb0="00020000" w:csb1="00000000"/>
  </w:font>
  <w:font w:name="LiberationSerif,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447" w:rsidRDefault="00E73447" w:rsidP="00D41341">
      <w:r>
        <w:separator/>
      </w:r>
    </w:p>
  </w:footnote>
  <w:footnote w:type="continuationSeparator" w:id="0">
    <w:p w:rsidR="00E73447" w:rsidRDefault="00E73447" w:rsidP="00D41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F7444"/>
    <w:multiLevelType w:val="hybridMultilevel"/>
    <w:tmpl w:val="5DEA4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44254"/>
    <w:multiLevelType w:val="hybridMultilevel"/>
    <w:tmpl w:val="635AE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B9"/>
    <w:rsid w:val="00002B51"/>
    <w:rsid w:val="00023924"/>
    <w:rsid w:val="000414AD"/>
    <w:rsid w:val="00074D2C"/>
    <w:rsid w:val="000D346B"/>
    <w:rsid w:val="0013243A"/>
    <w:rsid w:val="001637F9"/>
    <w:rsid w:val="001869BB"/>
    <w:rsid w:val="001A622B"/>
    <w:rsid w:val="001D617B"/>
    <w:rsid w:val="0020498A"/>
    <w:rsid w:val="00206518"/>
    <w:rsid w:val="00296941"/>
    <w:rsid w:val="002A3E4C"/>
    <w:rsid w:val="002B5F05"/>
    <w:rsid w:val="002B7331"/>
    <w:rsid w:val="002E6C14"/>
    <w:rsid w:val="00346780"/>
    <w:rsid w:val="003C2437"/>
    <w:rsid w:val="003E089A"/>
    <w:rsid w:val="00420BDF"/>
    <w:rsid w:val="00440C01"/>
    <w:rsid w:val="00455428"/>
    <w:rsid w:val="0047109A"/>
    <w:rsid w:val="004B31C9"/>
    <w:rsid w:val="004B31F9"/>
    <w:rsid w:val="00503590"/>
    <w:rsid w:val="00510889"/>
    <w:rsid w:val="00574EDB"/>
    <w:rsid w:val="00582FF7"/>
    <w:rsid w:val="005B177D"/>
    <w:rsid w:val="005C1706"/>
    <w:rsid w:val="006073D1"/>
    <w:rsid w:val="006163FE"/>
    <w:rsid w:val="00654E8E"/>
    <w:rsid w:val="00674A78"/>
    <w:rsid w:val="006775F4"/>
    <w:rsid w:val="006A45A2"/>
    <w:rsid w:val="006F5CC6"/>
    <w:rsid w:val="007A55B9"/>
    <w:rsid w:val="007E67B4"/>
    <w:rsid w:val="007E6F08"/>
    <w:rsid w:val="00800CC6"/>
    <w:rsid w:val="0082012A"/>
    <w:rsid w:val="008603FC"/>
    <w:rsid w:val="00863EE7"/>
    <w:rsid w:val="00864203"/>
    <w:rsid w:val="0086752C"/>
    <w:rsid w:val="00876AAB"/>
    <w:rsid w:val="008C4D1F"/>
    <w:rsid w:val="008E65F0"/>
    <w:rsid w:val="008F4237"/>
    <w:rsid w:val="00932D30"/>
    <w:rsid w:val="009732E1"/>
    <w:rsid w:val="009B2C53"/>
    <w:rsid w:val="00A00610"/>
    <w:rsid w:val="00A7364E"/>
    <w:rsid w:val="00A74B1C"/>
    <w:rsid w:val="00AF3159"/>
    <w:rsid w:val="00B029A4"/>
    <w:rsid w:val="00B05B16"/>
    <w:rsid w:val="00B20361"/>
    <w:rsid w:val="00B3145D"/>
    <w:rsid w:val="00B53407"/>
    <w:rsid w:val="00B8716D"/>
    <w:rsid w:val="00BB658A"/>
    <w:rsid w:val="00CD2534"/>
    <w:rsid w:val="00CD4A8D"/>
    <w:rsid w:val="00D20EAE"/>
    <w:rsid w:val="00D25AAB"/>
    <w:rsid w:val="00D41341"/>
    <w:rsid w:val="00D74131"/>
    <w:rsid w:val="00DA43CE"/>
    <w:rsid w:val="00DB1038"/>
    <w:rsid w:val="00DB3D1B"/>
    <w:rsid w:val="00DC0B86"/>
    <w:rsid w:val="00E00B60"/>
    <w:rsid w:val="00E160BA"/>
    <w:rsid w:val="00E21F17"/>
    <w:rsid w:val="00E35AF2"/>
    <w:rsid w:val="00E40F4A"/>
    <w:rsid w:val="00E73447"/>
    <w:rsid w:val="00E758A2"/>
    <w:rsid w:val="00F0139E"/>
    <w:rsid w:val="00F37F0F"/>
    <w:rsid w:val="00F57AAE"/>
    <w:rsid w:val="00F90F49"/>
    <w:rsid w:val="00FB1189"/>
    <w:rsid w:val="00FC04B8"/>
    <w:rsid w:val="00FE6C03"/>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70291-865C-43C6-A40F-69140A42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3CE"/>
    <w:pPr>
      <w:ind w:left="720"/>
      <w:contextualSpacing/>
    </w:pPr>
  </w:style>
  <w:style w:type="table" w:styleId="TableGrid">
    <w:name w:val="Table Grid"/>
    <w:basedOn w:val="TableNormal"/>
    <w:uiPriority w:val="39"/>
    <w:rsid w:val="00616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0B86"/>
    <w:rPr>
      <w:rFonts w:ascii="Tahoma" w:hAnsi="Tahoma" w:cs="Tahoma"/>
      <w:sz w:val="16"/>
      <w:szCs w:val="16"/>
    </w:rPr>
  </w:style>
  <w:style w:type="character" w:customStyle="1" w:styleId="BalloonTextChar">
    <w:name w:val="Balloon Text Char"/>
    <w:basedOn w:val="DefaultParagraphFont"/>
    <w:link w:val="BalloonText"/>
    <w:uiPriority w:val="99"/>
    <w:semiHidden/>
    <w:rsid w:val="00DC0B86"/>
    <w:rPr>
      <w:rFonts w:ascii="Tahoma" w:hAnsi="Tahoma" w:cs="Tahoma"/>
      <w:sz w:val="16"/>
      <w:szCs w:val="16"/>
    </w:rPr>
  </w:style>
  <w:style w:type="paragraph" w:styleId="Header">
    <w:name w:val="header"/>
    <w:basedOn w:val="Normal"/>
    <w:link w:val="HeaderChar"/>
    <w:uiPriority w:val="99"/>
    <w:unhideWhenUsed/>
    <w:rsid w:val="00D41341"/>
    <w:pPr>
      <w:tabs>
        <w:tab w:val="center" w:pos="4680"/>
        <w:tab w:val="right" w:pos="9360"/>
      </w:tabs>
    </w:pPr>
  </w:style>
  <w:style w:type="character" w:customStyle="1" w:styleId="HeaderChar">
    <w:name w:val="Header Char"/>
    <w:basedOn w:val="DefaultParagraphFont"/>
    <w:link w:val="Header"/>
    <w:uiPriority w:val="99"/>
    <w:rsid w:val="00D41341"/>
  </w:style>
  <w:style w:type="paragraph" w:styleId="Footer">
    <w:name w:val="footer"/>
    <w:basedOn w:val="Normal"/>
    <w:link w:val="FooterChar"/>
    <w:uiPriority w:val="99"/>
    <w:unhideWhenUsed/>
    <w:rsid w:val="00D41341"/>
    <w:pPr>
      <w:tabs>
        <w:tab w:val="center" w:pos="4680"/>
        <w:tab w:val="right" w:pos="9360"/>
      </w:tabs>
    </w:pPr>
  </w:style>
  <w:style w:type="character" w:customStyle="1" w:styleId="FooterChar">
    <w:name w:val="Footer Char"/>
    <w:basedOn w:val="DefaultParagraphFont"/>
    <w:link w:val="Footer"/>
    <w:uiPriority w:val="99"/>
    <w:rsid w:val="00D4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029">
      <w:bodyDiv w:val="1"/>
      <w:marLeft w:val="0"/>
      <w:marRight w:val="0"/>
      <w:marTop w:val="0"/>
      <w:marBottom w:val="0"/>
      <w:divBdr>
        <w:top w:val="none" w:sz="0" w:space="0" w:color="auto"/>
        <w:left w:val="none" w:sz="0" w:space="0" w:color="auto"/>
        <w:bottom w:val="none" w:sz="0" w:space="0" w:color="auto"/>
        <w:right w:val="none" w:sz="0" w:space="0" w:color="auto"/>
      </w:divBdr>
    </w:div>
    <w:div w:id="106969333">
      <w:bodyDiv w:val="1"/>
      <w:marLeft w:val="0"/>
      <w:marRight w:val="0"/>
      <w:marTop w:val="0"/>
      <w:marBottom w:val="0"/>
      <w:divBdr>
        <w:top w:val="none" w:sz="0" w:space="0" w:color="auto"/>
        <w:left w:val="none" w:sz="0" w:space="0" w:color="auto"/>
        <w:bottom w:val="none" w:sz="0" w:space="0" w:color="auto"/>
        <w:right w:val="none" w:sz="0" w:space="0" w:color="auto"/>
      </w:divBdr>
    </w:div>
    <w:div w:id="251353191">
      <w:bodyDiv w:val="1"/>
      <w:marLeft w:val="0"/>
      <w:marRight w:val="0"/>
      <w:marTop w:val="0"/>
      <w:marBottom w:val="0"/>
      <w:divBdr>
        <w:top w:val="none" w:sz="0" w:space="0" w:color="auto"/>
        <w:left w:val="none" w:sz="0" w:space="0" w:color="auto"/>
        <w:bottom w:val="none" w:sz="0" w:space="0" w:color="auto"/>
        <w:right w:val="none" w:sz="0" w:space="0" w:color="auto"/>
      </w:divBdr>
    </w:div>
    <w:div w:id="1233197740">
      <w:bodyDiv w:val="1"/>
      <w:marLeft w:val="0"/>
      <w:marRight w:val="0"/>
      <w:marTop w:val="0"/>
      <w:marBottom w:val="0"/>
      <w:divBdr>
        <w:top w:val="none" w:sz="0" w:space="0" w:color="auto"/>
        <w:left w:val="none" w:sz="0" w:space="0" w:color="auto"/>
        <w:bottom w:val="none" w:sz="0" w:space="0" w:color="auto"/>
        <w:right w:val="none" w:sz="0" w:space="0" w:color="auto"/>
      </w:divBdr>
    </w:div>
    <w:div w:id="1596161091">
      <w:bodyDiv w:val="1"/>
      <w:marLeft w:val="0"/>
      <w:marRight w:val="0"/>
      <w:marTop w:val="0"/>
      <w:marBottom w:val="0"/>
      <w:divBdr>
        <w:top w:val="none" w:sz="0" w:space="0" w:color="auto"/>
        <w:left w:val="none" w:sz="0" w:space="0" w:color="auto"/>
        <w:bottom w:val="none" w:sz="0" w:space="0" w:color="auto"/>
        <w:right w:val="none" w:sz="0" w:space="0" w:color="auto"/>
      </w:divBdr>
    </w:div>
    <w:div w:id="16428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Z</dc:creator>
  <cp:keywords/>
  <dc:description/>
  <cp:lastModifiedBy>N Z</cp:lastModifiedBy>
  <cp:revision>37</cp:revision>
  <cp:lastPrinted>2016-05-01T22:25:00Z</cp:lastPrinted>
  <dcterms:created xsi:type="dcterms:W3CDTF">2016-05-02T08:43:00Z</dcterms:created>
  <dcterms:modified xsi:type="dcterms:W3CDTF">2016-05-07T09:52:00Z</dcterms:modified>
  <cp:category/>
  <dc:identifier/>
  <cp:contentStatus/>
  <dc:language/>
  <cp:version/>
</cp:coreProperties>
</file>