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732A4D" w:rsidRPr="00732A4D" w:rsidRDefault="00732A4D" w:rsidP="00732A4D">
      <w:pPr>
        <w:shd w:val="clear" w:color="auto" w:fill="FFFFFF"/>
        <w:spacing w:before="270" w:line="396" w:lineRule="atLeast"/>
        <w:outlineLvl w:val="0"/>
        <w:rPr>
          <w:rFonts w:ascii="Arial" w:eastAsia="Times New Roman" w:hAnsi="Arial" w:cs="Arial"/>
          <w:b/>
          <w:bCs/>
          <w:color w:val="444444"/>
          <w:spacing w:val="-8"/>
          <w:kern w:val="36"/>
          <w:sz w:val="26"/>
          <w:szCs w:val="26"/>
          <w:lang w:val="en" w:eastAsia="en-GB"/>
        </w:rPr>
      </w:pPr>
      <w:r w:rsidRPr="00732A4D">
        <w:rPr>
          <w:rFonts w:ascii="Arial" w:eastAsia="Times New Roman" w:hAnsi="Arial" w:cs="Arial"/>
          <w:b/>
          <w:bCs/>
          <w:color w:val="444444"/>
          <w:spacing w:val="-8"/>
          <w:kern w:val="36"/>
          <w:sz w:val="26"/>
          <w:szCs w:val="26"/>
          <w:lang w:val="en" w:eastAsia="en-GB"/>
        </w:rPr>
        <w:fldChar w:fldCharType="begin"/>
      </w:r>
      <w:r w:rsidRPr="00732A4D">
        <w:rPr>
          <w:rFonts w:ascii="Arial" w:eastAsia="Times New Roman" w:hAnsi="Arial" w:cs="Arial"/>
          <w:b/>
          <w:bCs/>
          <w:color w:val="444444"/>
          <w:spacing w:val="-8"/>
          <w:kern w:val="36"/>
          <w:sz w:val="26"/>
          <w:szCs w:val="26"/>
          <w:lang w:val="en" w:eastAsia="en-GB"/>
        </w:rPr>
        <w:instrText xml:space="preserve"> HYPERLINK "javascript:;" </w:instrText>
      </w:r>
      <w:r w:rsidRPr="00732A4D">
        <w:rPr>
          <w:rFonts w:ascii="Arial" w:eastAsia="Times New Roman" w:hAnsi="Arial" w:cs="Arial"/>
          <w:b/>
          <w:bCs/>
          <w:color w:val="444444"/>
          <w:spacing w:val="-8"/>
          <w:kern w:val="36"/>
          <w:sz w:val="26"/>
          <w:szCs w:val="26"/>
          <w:lang w:val="en" w:eastAsia="en-GB"/>
        </w:rPr>
        <w:fldChar w:fldCharType="separate"/>
      </w:r>
      <w:r w:rsidRPr="00732A4D">
        <w:rPr>
          <w:rFonts w:ascii="Arial" w:eastAsia="Times New Roman" w:hAnsi="Arial" w:cs="Arial"/>
          <w:b/>
          <w:bCs/>
          <w:color w:val="006699"/>
          <w:spacing w:val="-8"/>
          <w:kern w:val="36"/>
          <w:sz w:val="26"/>
          <w:szCs w:val="26"/>
          <w:lang w:val="en" w:eastAsia="en-GB"/>
        </w:rPr>
        <w:t>Transportation</w:t>
      </w:r>
      <w:r w:rsidRPr="00732A4D">
        <w:rPr>
          <w:rFonts w:ascii="Arial" w:eastAsia="Times New Roman" w:hAnsi="Arial" w:cs="Arial"/>
          <w:b/>
          <w:bCs/>
          <w:color w:val="444444"/>
          <w:spacing w:val="-8"/>
          <w:kern w:val="36"/>
          <w:sz w:val="26"/>
          <w:szCs w:val="26"/>
          <w:lang w:val="en" w:eastAsia="en-GB"/>
        </w:rPr>
        <w:fldChar w:fldCharType="end"/>
      </w:r>
    </w:p>
    <w:p w:rsidR="00732A4D" w:rsidRPr="00732A4D" w:rsidRDefault="00732A4D" w:rsidP="00732A4D">
      <w:pPr>
        <w:shd w:val="clear" w:color="auto" w:fill="FFFFFF"/>
        <w:spacing w:after="300" w:line="396" w:lineRule="atLeast"/>
        <w:rPr>
          <w:rFonts w:ascii="Arial" w:eastAsia="Times New Roman" w:hAnsi="Arial" w:cs="Arial"/>
          <w:color w:val="333333"/>
          <w:sz w:val="22"/>
          <w:szCs w:val="22"/>
          <w:lang w:val="en" w:eastAsia="en-GB"/>
        </w:rPr>
      </w:pPr>
      <w:r w:rsidRPr="00732A4D">
        <w:rPr>
          <w:rFonts w:ascii="Arial" w:eastAsia="Times New Roman" w:hAnsi="Arial" w:cs="Arial"/>
          <w:color w:val="333333"/>
          <w:sz w:val="22"/>
          <w:szCs w:val="22"/>
          <w:lang w:val="en" w:eastAsia="en-GB"/>
        </w:rPr>
        <w:t xml:space="preserve">Petroleum-derived liquid fuels are the overwhelming source of energy in the current transportation infrastructure. The geographical distribution of petroleum resources is changing as reserves are found and accessed with improved technologies for discovery and production. However, this distribution of oil supply generally does not coincide with where the demand is located. For example, many countries import oil at an unprecedented scale, which can lead to significant balance-of-trade and national-security challenges. In 2011, about 2.690 billion </w:t>
      </w:r>
      <w:proofErr w:type="spellStart"/>
      <w:r w:rsidRPr="00732A4D">
        <w:rPr>
          <w:rFonts w:ascii="Arial" w:eastAsia="Times New Roman" w:hAnsi="Arial" w:cs="Arial"/>
          <w:color w:val="333333"/>
          <w:sz w:val="22"/>
          <w:szCs w:val="22"/>
          <w:lang w:val="en" w:eastAsia="en-GB"/>
        </w:rPr>
        <w:t>tonnes</w:t>
      </w:r>
      <w:proofErr w:type="spellEnd"/>
      <w:r w:rsidRPr="00732A4D">
        <w:rPr>
          <w:rFonts w:ascii="Arial" w:eastAsia="Times New Roman" w:hAnsi="Arial" w:cs="Arial"/>
          <w:color w:val="333333"/>
          <w:sz w:val="22"/>
          <w:szCs w:val="22"/>
          <w:lang w:val="en" w:eastAsia="en-GB"/>
        </w:rPr>
        <w:t xml:space="preserve"> of oil were consumed; of this, 1.895 billion </w:t>
      </w:r>
      <w:proofErr w:type="spellStart"/>
      <w:r w:rsidRPr="00732A4D">
        <w:rPr>
          <w:rFonts w:ascii="Arial" w:eastAsia="Times New Roman" w:hAnsi="Arial" w:cs="Arial"/>
          <w:color w:val="333333"/>
          <w:sz w:val="22"/>
          <w:szCs w:val="22"/>
          <w:lang w:val="en" w:eastAsia="en-GB"/>
        </w:rPr>
        <w:t>tonnes</w:t>
      </w:r>
      <w:proofErr w:type="spellEnd"/>
      <w:r w:rsidRPr="00732A4D">
        <w:rPr>
          <w:rFonts w:ascii="Arial" w:eastAsia="Times New Roman" w:hAnsi="Arial" w:cs="Arial"/>
          <w:color w:val="333333"/>
          <w:sz w:val="22"/>
          <w:szCs w:val="22"/>
          <w:lang w:val="en" w:eastAsia="en-GB"/>
        </w:rPr>
        <w:t xml:space="preserve"> of crude oil and 0.791 billion </w:t>
      </w:r>
      <w:proofErr w:type="spellStart"/>
      <w:r w:rsidRPr="00732A4D">
        <w:rPr>
          <w:rFonts w:ascii="Arial" w:eastAsia="Times New Roman" w:hAnsi="Arial" w:cs="Arial"/>
          <w:color w:val="333333"/>
          <w:sz w:val="22"/>
          <w:szCs w:val="22"/>
          <w:lang w:val="en" w:eastAsia="en-GB"/>
        </w:rPr>
        <w:t>tonnes</w:t>
      </w:r>
      <w:proofErr w:type="spellEnd"/>
      <w:r w:rsidRPr="00732A4D">
        <w:rPr>
          <w:rFonts w:ascii="Arial" w:eastAsia="Times New Roman" w:hAnsi="Arial" w:cs="Arial"/>
          <w:color w:val="333333"/>
          <w:sz w:val="22"/>
          <w:szCs w:val="22"/>
          <w:lang w:val="en" w:eastAsia="en-GB"/>
        </w:rPr>
        <w:t xml:space="preserve"> of refined products crossed national borders</w:t>
      </w:r>
      <w:hyperlink r:id="rId6" w:anchor="ref5" w:tooltip="BP. BP Statistical Review of World Energy. http://bp.com/statisticalreview2012. (BP, 2012)." w:history="1">
        <w:r w:rsidRPr="00732A4D">
          <w:rPr>
            <w:rFonts w:ascii="Arial" w:eastAsia="Times New Roman" w:hAnsi="Arial" w:cs="Arial"/>
            <w:b/>
            <w:bCs/>
            <w:color w:val="006699"/>
            <w:sz w:val="19"/>
            <w:szCs w:val="19"/>
            <w:vertAlign w:val="superscript"/>
            <w:lang w:val="en" w:eastAsia="en-GB"/>
          </w:rPr>
          <w:t>5</w:t>
        </w:r>
      </w:hyperlink>
      <w:r w:rsidRPr="00732A4D">
        <w:rPr>
          <w:rFonts w:ascii="Arial" w:eastAsia="Times New Roman" w:hAnsi="Arial" w:cs="Arial"/>
          <w:color w:val="333333"/>
          <w:sz w:val="22"/>
          <w:szCs w:val="22"/>
          <w:lang w:val="en" w:eastAsia="en-GB"/>
        </w:rPr>
        <w:t xml:space="preserve"> and significant discoveries of oil, natural-gas liquids and natural gas could potentially alter the global-energy landscape</w:t>
      </w:r>
      <w:hyperlink r:id="rId7" w:anchor="ref6" w:tooltip="Maugeri, L. Oil: The Next Revolution. Discussion Paper 2012-10. http://belfercenter.ksg.harvard.edu/files/Oil-%20The%20Next%20Revolution.pdf (Belfer Center for Science and International Affairs, Harvard Kennedy School, 2012)." w:history="1">
        <w:r w:rsidRPr="00732A4D">
          <w:rPr>
            <w:rFonts w:ascii="Arial" w:eastAsia="Times New Roman" w:hAnsi="Arial" w:cs="Arial"/>
            <w:b/>
            <w:bCs/>
            <w:color w:val="006699"/>
            <w:sz w:val="19"/>
            <w:szCs w:val="19"/>
            <w:vertAlign w:val="superscript"/>
            <w:lang w:val="en" w:eastAsia="en-GB"/>
          </w:rPr>
          <w:t>6</w:t>
        </w:r>
      </w:hyperlink>
      <w:r w:rsidRPr="00732A4D">
        <w:rPr>
          <w:rFonts w:ascii="Arial" w:eastAsia="Times New Roman" w:hAnsi="Arial" w:cs="Arial"/>
          <w:color w:val="333333"/>
          <w:sz w:val="22"/>
          <w:szCs w:val="22"/>
          <w:lang w:val="en" w:eastAsia="en-GB"/>
        </w:rPr>
        <w:t>.</w:t>
      </w:r>
    </w:p>
    <w:p w:rsidR="00732A4D" w:rsidRPr="00732A4D" w:rsidRDefault="00732A4D" w:rsidP="00732A4D">
      <w:pPr>
        <w:shd w:val="clear" w:color="auto" w:fill="FFFFFF"/>
        <w:spacing w:after="300" w:line="396" w:lineRule="atLeast"/>
        <w:rPr>
          <w:rFonts w:ascii="Arial" w:eastAsia="Times New Roman" w:hAnsi="Arial" w:cs="Arial"/>
          <w:color w:val="333333"/>
          <w:sz w:val="22"/>
          <w:szCs w:val="22"/>
          <w:lang w:val="en" w:eastAsia="en-GB"/>
        </w:rPr>
      </w:pPr>
      <w:r w:rsidRPr="00732A4D">
        <w:rPr>
          <w:rFonts w:ascii="Arial" w:eastAsia="Times New Roman" w:hAnsi="Arial" w:cs="Arial"/>
          <w:color w:val="333333"/>
          <w:sz w:val="22"/>
          <w:szCs w:val="22"/>
          <w:lang w:val="en" w:eastAsia="en-GB"/>
        </w:rPr>
        <w:t>We will review some of the opportunities and challenges related to transportation technologies. For example, most of the future infrastructure of the world will be built in locations where we have the greatest opportunity to transition to sustainable mobility. Desirable and affordable public transportation that is fully integrated into urban planning</w:t>
      </w:r>
      <w:hyperlink r:id="rId8" w:anchor="ref7" w:tooltip="Inderwildi, O. &amp; King, D. (eds). Energy, Transport, &amp; the Environment, Addressing the Sustainable Mobility Paradigm. (Springer, 2012)." w:history="1">
        <w:r w:rsidRPr="00732A4D">
          <w:rPr>
            <w:rFonts w:ascii="Arial" w:eastAsia="Times New Roman" w:hAnsi="Arial" w:cs="Arial"/>
            <w:b/>
            <w:bCs/>
            <w:color w:val="006699"/>
            <w:sz w:val="19"/>
            <w:szCs w:val="19"/>
            <w:vertAlign w:val="superscript"/>
            <w:lang w:val="en" w:eastAsia="en-GB"/>
          </w:rPr>
          <w:t>7</w:t>
        </w:r>
      </w:hyperlink>
      <w:r w:rsidRPr="00732A4D">
        <w:rPr>
          <w:rFonts w:ascii="Arial" w:eastAsia="Times New Roman" w:hAnsi="Arial" w:cs="Arial"/>
          <w:color w:val="333333"/>
          <w:sz w:val="22"/>
          <w:szCs w:val="22"/>
          <w:lang w:val="en" w:eastAsia="en-GB"/>
        </w:rPr>
        <w:t>, and the use of information technologies to assist and displace transportation can significantly reduce fuel consumption, but are not discussed in this Perspective.</w:t>
      </w:r>
    </w:p>
    <w:p w:rsidR="00732A4D" w:rsidRPr="00732A4D" w:rsidRDefault="00732A4D" w:rsidP="00732A4D">
      <w:pPr>
        <w:shd w:val="clear" w:color="auto" w:fill="FFFFFF"/>
        <w:spacing w:after="300" w:line="396" w:lineRule="atLeast"/>
        <w:rPr>
          <w:rFonts w:ascii="Arial" w:eastAsia="Times New Roman" w:hAnsi="Arial" w:cs="Arial"/>
          <w:color w:val="333333"/>
          <w:sz w:val="22"/>
          <w:szCs w:val="22"/>
          <w:lang w:val="en" w:eastAsia="en-GB"/>
        </w:rPr>
      </w:pPr>
      <w:r w:rsidRPr="00732A4D">
        <w:rPr>
          <w:rFonts w:ascii="Arial" w:eastAsia="Times New Roman" w:hAnsi="Arial" w:cs="Arial"/>
          <w:color w:val="333333"/>
          <w:sz w:val="22"/>
          <w:szCs w:val="22"/>
          <w:lang w:val="en" w:eastAsia="en-GB"/>
        </w:rPr>
        <w:t>The Quadrennial Technology Review (QTR) of the US DOE provides a broad overview of state-of-the-art technologies and opportunities for future research</w:t>
      </w:r>
      <w:hyperlink r:id="rId9" w:anchor="ref8" w:tooltip="US Department of Energy. Quadrennial Technology Review report, vol. II Technology Assessments http://energy.gov/articles/department-energy-releases-inaugural-quadrennial-technology-review-report (US Department of Energy, 2011)." w:history="1">
        <w:r w:rsidRPr="00732A4D">
          <w:rPr>
            <w:rFonts w:ascii="Arial" w:eastAsia="Times New Roman" w:hAnsi="Arial" w:cs="Arial"/>
            <w:b/>
            <w:bCs/>
            <w:color w:val="006699"/>
            <w:sz w:val="19"/>
            <w:szCs w:val="19"/>
            <w:vertAlign w:val="superscript"/>
            <w:lang w:val="en" w:eastAsia="en-GB"/>
          </w:rPr>
          <w:t>8</w:t>
        </w:r>
      </w:hyperlink>
      <w:r w:rsidRPr="00732A4D">
        <w:rPr>
          <w:rFonts w:ascii="Arial" w:eastAsia="Times New Roman" w:hAnsi="Arial" w:cs="Arial"/>
          <w:color w:val="333333"/>
          <w:sz w:val="22"/>
          <w:szCs w:val="22"/>
          <w:lang w:val="en" w:eastAsia="en-GB"/>
        </w:rPr>
        <w:t xml:space="preserve">. Improvements in energy efficiency of vehicles can greatly reduce oil dependency. These improvements include increased use of light-weight materials, such as advanced ultra-high tensile strength steels, </w:t>
      </w:r>
      <w:proofErr w:type="spellStart"/>
      <w:r w:rsidRPr="00732A4D">
        <w:rPr>
          <w:rFonts w:ascii="Arial" w:eastAsia="Times New Roman" w:hAnsi="Arial" w:cs="Arial"/>
          <w:color w:val="333333"/>
          <w:sz w:val="22"/>
          <w:szCs w:val="22"/>
          <w:lang w:val="en" w:eastAsia="en-GB"/>
        </w:rPr>
        <w:t>aluminium</w:t>
      </w:r>
      <w:proofErr w:type="spellEnd"/>
      <w:r w:rsidRPr="00732A4D">
        <w:rPr>
          <w:rFonts w:ascii="Arial" w:eastAsia="Times New Roman" w:hAnsi="Arial" w:cs="Arial"/>
          <w:color w:val="333333"/>
          <w:sz w:val="22"/>
          <w:szCs w:val="22"/>
          <w:lang w:val="en" w:eastAsia="en-GB"/>
        </w:rPr>
        <w:t xml:space="preserve"> and magnesium alloys, polymers, and carbon-</w:t>
      </w:r>
      <w:proofErr w:type="spellStart"/>
      <w:r w:rsidRPr="00732A4D">
        <w:rPr>
          <w:rFonts w:ascii="Arial" w:eastAsia="Times New Roman" w:hAnsi="Arial" w:cs="Arial"/>
          <w:color w:val="333333"/>
          <w:sz w:val="22"/>
          <w:szCs w:val="22"/>
          <w:lang w:val="en" w:eastAsia="en-GB"/>
        </w:rPr>
        <w:t>fibre</w:t>
      </w:r>
      <w:proofErr w:type="spellEnd"/>
      <w:r w:rsidRPr="00732A4D">
        <w:rPr>
          <w:rFonts w:ascii="Arial" w:eastAsia="Times New Roman" w:hAnsi="Arial" w:cs="Arial"/>
          <w:color w:val="333333"/>
          <w:sz w:val="22"/>
          <w:szCs w:val="22"/>
          <w:lang w:val="en" w:eastAsia="en-GB"/>
        </w:rPr>
        <w:t xml:space="preserve"> reinforced composite materials</w:t>
      </w:r>
      <w:hyperlink r:id="rId10" w:anchor="ref9" w:tooltip="Gibbs, J., Pesaran, A. A., Sklad, P. S. &amp; Marlino, L. D. in Fundamentals of Materials for Energy and Environmental Sustainability (eds Ginley, D. S. &amp; Cahen D.) Ch. 31, 426-444 (Cambridge Univ. Press, 2012)." w:history="1">
        <w:r w:rsidRPr="00732A4D">
          <w:rPr>
            <w:rFonts w:ascii="Arial" w:eastAsia="Times New Roman" w:hAnsi="Arial" w:cs="Arial"/>
            <w:b/>
            <w:bCs/>
            <w:color w:val="006699"/>
            <w:sz w:val="19"/>
            <w:szCs w:val="19"/>
            <w:vertAlign w:val="superscript"/>
            <w:lang w:val="en" w:eastAsia="en-GB"/>
          </w:rPr>
          <w:t>9</w:t>
        </w:r>
      </w:hyperlink>
      <w:r w:rsidRPr="00732A4D">
        <w:rPr>
          <w:rFonts w:ascii="Arial" w:eastAsia="Times New Roman" w:hAnsi="Arial" w:cs="Arial"/>
          <w:color w:val="333333"/>
          <w:sz w:val="22"/>
          <w:szCs w:val="22"/>
          <w:lang w:val="en" w:eastAsia="en-GB"/>
        </w:rPr>
        <w:t>. The integration of lighter weight materials is especially important if more complex parts can be manufactured as a single unit. The potential for reducing the weight of vehicles has already been shown, and in the next 10–20 years, an additional 20–40</w:t>
      </w:r>
      <w:r w:rsidRPr="00732A4D">
        <w:rPr>
          <w:rFonts w:ascii="Arial Unicode MS" w:eastAsia="Arial Unicode MS" w:hAnsi="Arial Unicode MS" w:cs="Arial Unicode MS"/>
          <w:color w:val="333333"/>
          <w:sz w:val="22"/>
          <w:szCs w:val="22"/>
          <w:lang w:val="en" w:eastAsia="en-GB"/>
        </w:rPr>
        <w:t>%</w:t>
      </w:r>
      <w:r w:rsidRPr="00732A4D">
        <w:rPr>
          <w:rFonts w:ascii="Arial" w:eastAsia="Times New Roman" w:hAnsi="Arial" w:cs="Arial"/>
          <w:color w:val="333333"/>
          <w:sz w:val="22"/>
          <w:szCs w:val="22"/>
          <w:lang w:val="en" w:eastAsia="en-GB"/>
        </w:rPr>
        <w:t xml:space="preserve"> reduction in overall weight, without sacrificing safety, seems to be possible</w:t>
      </w:r>
      <w:hyperlink r:id="rId11" w:anchor="ref10" w:tooltip="Powers, W. F., Automotive materials in the 21st century. Adv. Mater. Process. 157, 38-41 (2000)." w:history="1">
        <w:r w:rsidRPr="00732A4D">
          <w:rPr>
            <w:rFonts w:ascii="Arial" w:eastAsia="Times New Roman" w:hAnsi="Arial" w:cs="Arial"/>
            <w:b/>
            <w:bCs/>
            <w:color w:val="006699"/>
            <w:sz w:val="19"/>
            <w:szCs w:val="19"/>
            <w:vertAlign w:val="superscript"/>
            <w:lang w:val="en" w:eastAsia="en-GB"/>
          </w:rPr>
          <w:t>10</w:t>
        </w:r>
      </w:hyperlink>
      <w:r w:rsidRPr="00732A4D">
        <w:rPr>
          <w:rFonts w:ascii="Arial" w:eastAsia="Times New Roman" w:hAnsi="Arial" w:cs="Arial"/>
          <w:color w:val="333333"/>
          <w:sz w:val="22"/>
          <w:szCs w:val="22"/>
          <w:lang w:val="en" w:eastAsia="en-GB"/>
        </w:rPr>
        <w:t>. For every 10</w:t>
      </w:r>
      <w:r w:rsidRPr="00732A4D">
        <w:rPr>
          <w:rFonts w:ascii="Arial Unicode MS" w:eastAsia="Arial Unicode MS" w:hAnsi="Arial Unicode MS" w:cs="Arial Unicode MS"/>
          <w:color w:val="333333"/>
          <w:sz w:val="22"/>
          <w:szCs w:val="22"/>
          <w:lang w:val="en" w:eastAsia="en-GB"/>
        </w:rPr>
        <w:t>%</w:t>
      </w:r>
      <w:r w:rsidRPr="00732A4D">
        <w:rPr>
          <w:rFonts w:ascii="Arial" w:eastAsia="Times New Roman" w:hAnsi="Arial" w:cs="Arial"/>
          <w:color w:val="333333"/>
          <w:sz w:val="22"/>
          <w:szCs w:val="22"/>
          <w:lang w:val="en" w:eastAsia="en-GB"/>
        </w:rPr>
        <w:t xml:space="preserve"> weight reduction of the vehicle, an improvement in fuel consumption of 6–8</w:t>
      </w:r>
      <w:r w:rsidRPr="00732A4D">
        <w:rPr>
          <w:rFonts w:ascii="Arial Unicode MS" w:eastAsia="Arial Unicode MS" w:hAnsi="Arial Unicode MS" w:cs="Arial Unicode MS"/>
          <w:color w:val="333333"/>
          <w:sz w:val="22"/>
          <w:szCs w:val="22"/>
          <w:lang w:val="en" w:eastAsia="en-GB"/>
        </w:rPr>
        <w:t>%</w:t>
      </w:r>
      <w:r w:rsidRPr="00732A4D">
        <w:rPr>
          <w:rFonts w:ascii="Arial" w:eastAsia="Times New Roman" w:hAnsi="Arial" w:cs="Arial"/>
          <w:color w:val="333333"/>
          <w:sz w:val="22"/>
          <w:szCs w:val="22"/>
          <w:lang w:val="en" w:eastAsia="en-GB"/>
        </w:rPr>
        <w:t xml:space="preserve"> is expected</w:t>
      </w:r>
      <w:hyperlink r:id="rId12" w:anchor="ref11" w:tooltip="Cuddy, M. R. &amp; Wipke, K. B. Analysis of Fuel Economy Benefit of Drivetrain Hybridization. http://www.nrel.gov/vehiclesandfuels/vsa/pdfs/22309.pdf (National Renewable Energy Laboratory, 1997)." w:history="1">
        <w:r w:rsidRPr="00732A4D">
          <w:rPr>
            <w:rFonts w:ascii="Arial" w:eastAsia="Times New Roman" w:hAnsi="Arial" w:cs="Arial"/>
            <w:b/>
            <w:bCs/>
            <w:color w:val="006699"/>
            <w:sz w:val="19"/>
            <w:szCs w:val="19"/>
            <w:vertAlign w:val="superscript"/>
            <w:lang w:val="en" w:eastAsia="en-GB"/>
          </w:rPr>
          <w:t>11</w:t>
        </w:r>
      </w:hyperlink>
      <w:r w:rsidRPr="00732A4D">
        <w:rPr>
          <w:rFonts w:ascii="Arial" w:eastAsia="Times New Roman" w:hAnsi="Arial" w:cs="Arial"/>
          <w:color w:val="333333"/>
          <w:sz w:val="22"/>
          <w:szCs w:val="22"/>
          <w:lang w:val="en" w:eastAsia="en-GB"/>
        </w:rPr>
        <w:t>.</w:t>
      </w:r>
    </w:p>
    <w:p w:rsidR="00732A4D" w:rsidRPr="00732A4D" w:rsidRDefault="00732A4D" w:rsidP="00732A4D">
      <w:pPr>
        <w:shd w:val="clear" w:color="auto" w:fill="FFFFFF"/>
        <w:spacing w:after="300" w:line="396" w:lineRule="atLeast"/>
        <w:rPr>
          <w:rFonts w:ascii="Arial" w:eastAsia="Times New Roman" w:hAnsi="Arial" w:cs="Arial"/>
          <w:color w:val="333333"/>
          <w:sz w:val="22"/>
          <w:szCs w:val="22"/>
          <w:lang w:val="en" w:eastAsia="en-GB"/>
        </w:rPr>
      </w:pPr>
      <w:r w:rsidRPr="00732A4D">
        <w:rPr>
          <w:rFonts w:ascii="Arial" w:eastAsia="Times New Roman" w:hAnsi="Arial" w:cs="Arial"/>
          <w:color w:val="333333"/>
          <w:sz w:val="22"/>
          <w:szCs w:val="22"/>
          <w:lang w:val="en" w:eastAsia="en-GB"/>
        </w:rPr>
        <w:t>Reducing energy losses as a result of friction is also possible</w:t>
      </w:r>
      <w:hyperlink r:id="rId13" w:anchor="ref12" w:tooltip="Holmberg, K., Anderssona, P. &amp; Erdemirb, A. Global energy consumption due to friction in passenger cars. Tribol. Int. 47, 221-234 (2012)." w:history="1">
        <w:r w:rsidRPr="00732A4D">
          <w:rPr>
            <w:rFonts w:ascii="Arial" w:eastAsia="Times New Roman" w:hAnsi="Arial" w:cs="Arial"/>
            <w:b/>
            <w:bCs/>
            <w:color w:val="006699"/>
            <w:sz w:val="19"/>
            <w:szCs w:val="19"/>
            <w:vertAlign w:val="superscript"/>
            <w:lang w:val="en" w:eastAsia="en-GB"/>
          </w:rPr>
          <w:t>12</w:t>
        </w:r>
      </w:hyperlink>
      <w:r w:rsidRPr="00732A4D">
        <w:rPr>
          <w:rFonts w:ascii="Arial" w:eastAsia="Times New Roman" w:hAnsi="Arial" w:cs="Arial"/>
          <w:color w:val="333333"/>
          <w:sz w:val="22"/>
          <w:szCs w:val="22"/>
          <w:lang w:val="en" w:eastAsia="en-GB"/>
        </w:rPr>
        <w:t xml:space="preserve"> (</w:t>
      </w:r>
      <w:hyperlink r:id="rId14" w:anchor="f2" w:history="1">
        <w:r w:rsidRPr="00732A4D">
          <w:rPr>
            <w:rFonts w:ascii="Arial" w:eastAsia="Times New Roman" w:hAnsi="Arial" w:cs="Arial"/>
            <w:b/>
            <w:bCs/>
            <w:color w:val="006699"/>
            <w:sz w:val="22"/>
            <w:szCs w:val="22"/>
            <w:lang w:val="en" w:eastAsia="en-GB"/>
          </w:rPr>
          <w:t>Fig. 2</w:t>
        </w:r>
      </w:hyperlink>
      <w:r w:rsidRPr="00732A4D">
        <w:rPr>
          <w:rFonts w:ascii="Arial" w:eastAsia="Times New Roman" w:hAnsi="Arial" w:cs="Arial"/>
          <w:color w:val="333333"/>
          <w:sz w:val="22"/>
          <w:szCs w:val="22"/>
          <w:lang w:val="en" w:eastAsia="en-GB"/>
        </w:rPr>
        <w:t xml:space="preserve">). Advances in cost-effective technologies such as tribology, </w:t>
      </w:r>
      <w:proofErr w:type="spellStart"/>
      <w:r w:rsidRPr="00732A4D">
        <w:rPr>
          <w:rFonts w:ascii="Arial" w:eastAsia="Times New Roman" w:hAnsi="Arial" w:cs="Arial"/>
          <w:color w:val="333333"/>
          <w:sz w:val="22"/>
          <w:szCs w:val="22"/>
          <w:lang w:val="en" w:eastAsia="en-GB"/>
        </w:rPr>
        <w:t>tyres</w:t>
      </w:r>
      <w:proofErr w:type="spellEnd"/>
      <w:r w:rsidRPr="00732A4D">
        <w:rPr>
          <w:rFonts w:ascii="Arial" w:eastAsia="Times New Roman" w:hAnsi="Arial" w:cs="Arial"/>
          <w:color w:val="333333"/>
          <w:sz w:val="22"/>
          <w:szCs w:val="22"/>
          <w:lang w:val="en" w:eastAsia="en-GB"/>
        </w:rPr>
        <w:t xml:space="preserve">, braking and waste-heat energy </w:t>
      </w:r>
      <w:r w:rsidRPr="00732A4D">
        <w:rPr>
          <w:rFonts w:ascii="Arial" w:eastAsia="Times New Roman" w:hAnsi="Arial" w:cs="Arial"/>
          <w:color w:val="333333"/>
          <w:sz w:val="22"/>
          <w:szCs w:val="22"/>
          <w:lang w:val="en" w:eastAsia="en-GB"/>
        </w:rPr>
        <w:lastRenderedPageBreak/>
        <w:t>recovery, and aerodynamics could potentially lead to efficiency improvements of 20</w:t>
      </w:r>
      <w:r w:rsidRPr="00732A4D">
        <w:rPr>
          <w:rFonts w:ascii="Arial Unicode MS" w:eastAsia="Arial Unicode MS" w:hAnsi="Arial Unicode MS" w:cs="Arial Unicode MS"/>
          <w:color w:val="333333"/>
          <w:sz w:val="22"/>
          <w:szCs w:val="22"/>
          <w:lang w:val="en" w:eastAsia="en-GB"/>
        </w:rPr>
        <w:t>%</w:t>
      </w:r>
      <w:r w:rsidRPr="00732A4D">
        <w:rPr>
          <w:rFonts w:ascii="Arial" w:eastAsia="Times New Roman" w:hAnsi="Arial" w:cs="Arial"/>
          <w:color w:val="333333"/>
          <w:sz w:val="22"/>
          <w:szCs w:val="22"/>
          <w:lang w:val="en" w:eastAsia="en-GB"/>
        </w:rPr>
        <w:t xml:space="preserve"> in the short term and more than 60</w:t>
      </w:r>
      <w:r w:rsidRPr="00732A4D">
        <w:rPr>
          <w:rFonts w:ascii="Arial Unicode MS" w:eastAsia="Arial Unicode MS" w:hAnsi="Arial Unicode MS" w:cs="Arial Unicode MS"/>
          <w:color w:val="333333"/>
          <w:sz w:val="22"/>
          <w:szCs w:val="22"/>
          <w:lang w:val="en" w:eastAsia="en-GB"/>
        </w:rPr>
        <w:t>%</w:t>
      </w:r>
      <w:r w:rsidRPr="00732A4D">
        <w:rPr>
          <w:rFonts w:ascii="Arial" w:eastAsia="Times New Roman" w:hAnsi="Arial" w:cs="Arial"/>
          <w:color w:val="333333"/>
          <w:sz w:val="22"/>
          <w:szCs w:val="22"/>
          <w:lang w:val="en" w:eastAsia="en-GB"/>
        </w:rPr>
        <w:t xml:space="preserve"> over a longer term (15–25 years).</w:t>
      </w:r>
    </w:p>
    <w:p w:rsidR="00732A4D" w:rsidRPr="00732A4D" w:rsidRDefault="00732A4D" w:rsidP="00732A4D">
      <w:pPr>
        <w:shd w:val="clear" w:color="auto" w:fill="FFFFFF"/>
        <w:spacing w:line="396" w:lineRule="atLeast"/>
        <w:rPr>
          <w:rFonts w:ascii="Arial" w:eastAsia="Times New Roman" w:hAnsi="Arial" w:cs="Arial"/>
          <w:color w:val="333333"/>
          <w:sz w:val="22"/>
          <w:szCs w:val="22"/>
          <w:lang w:val="en" w:eastAsia="en-GB"/>
        </w:rPr>
      </w:pPr>
      <w:r w:rsidRPr="00732A4D">
        <w:rPr>
          <w:rFonts w:ascii="Arial" w:eastAsia="Times New Roman" w:hAnsi="Arial" w:cs="Arial"/>
          <w:b/>
          <w:bCs/>
          <w:color w:val="444444"/>
          <w:sz w:val="22"/>
          <w:szCs w:val="22"/>
          <w:lang w:val="en" w:eastAsia="en-GB"/>
        </w:rPr>
        <w:t xml:space="preserve">Figure 2: Vehicle energy losses. </w:t>
      </w:r>
    </w:p>
    <w:p w:rsidR="00732A4D" w:rsidRPr="00732A4D" w:rsidRDefault="00732A4D" w:rsidP="00732A4D">
      <w:pPr>
        <w:shd w:val="clear" w:color="auto" w:fill="FFFFFF"/>
        <w:spacing w:line="396" w:lineRule="atLeast"/>
        <w:rPr>
          <w:rFonts w:ascii="Arial" w:eastAsia="Times New Roman" w:hAnsi="Arial" w:cs="Arial"/>
          <w:color w:val="333333"/>
          <w:sz w:val="22"/>
          <w:szCs w:val="22"/>
          <w:lang w:val="en" w:eastAsia="en-GB"/>
        </w:rPr>
      </w:pPr>
      <w:r>
        <w:rPr>
          <w:rFonts w:ascii="Arial" w:eastAsia="Times New Roman" w:hAnsi="Arial" w:cs="Arial"/>
          <w:b/>
          <w:bCs/>
          <w:noProof/>
          <w:color w:val="006699"/>
          <w:sz w:val="22"/>
          <w:szCs w:val="22"/>
          <w:lang w:eastAsia="en-GB"/>
        </w:rPr>
        <w:drawing>
          <wp:inline distT="0" distB="0" distL="0" distR="0">
            <wp:extent cx="5715000" cy="3114675"/>
            <wp:effectExtent l="0" t="0" r="0" b="9525"/>
            <wp:docPr id="11" name="Picture 11" descr="Vehicle energy losses.">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Vehicle energy losses.">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15000" cy="3114675"/>
                    </a:xfrm>
                    <a:prstGeom prst="rect">
                      <a:avLst/>
                    </a:prstGeom>
                    <a:noFill/>
                    <a:ln>
                      <a:noFill/>
                    </a:ln>
                  </pic:spPr>
                </pic:pic>
              </a:graphicData>
            </a:graphic>
          </wp:inline>
        </w:drawing>
      </w:r>
    </w:p>
    <w:p w:rsidR="00732A4D" w:rsidRPr="00732A4D" w:rsidRDefault="00732A4D" w:rsidP="00732A4D">
      <w:pPr>
        <w:shd w:val="clear" w:color="auto" w:fill="FFFFFF"/>
        <w:spacing w:after="300" w:line="396" w:lineRule="atLeast"/>
        <w:rPr>
          <w:rFonts w:ascii="Arial" w:eastAsia="Times New Roman" w:hAnsi="Arial" w:cs="Arial"/>
          <w:color w:val="333333"/>
          <w:sz w:val="22"/>
          <w:szCs w:val="22"/>
          <w:lang w:val="en" w:eastAsia="en-GB"/>
        </w:rPr>
      </w:pPr>
      <w:r w:rsidRPr="00732A4D">
        <w:rPr>
          <w:rFonts w:ascii="Arial" w:eastAsia="Times New Roman" w:hAnsi="Arial" w:cs="Arial"/>
          <w:color w:val="333333"/>
          <w:sz w:val="22"/>
          <w:szCs w:val="22"/>
          <w:lang w:val="en" w:eastAsia="en-GB"/>
        </w:rPr>
        <w:t>Of the energy that fuel provides to vehicles a substantial proportion is lost. A breakdown of the average losses of internal-combustion-engine cars (fleet make up 70</w:t>
      </w:r>
      <w:r w:rsidRPr="00732A4D">
        <w:rPr>
          <w:rFonts w:ascii="Arial Unicode MS" w:eastAsia="Arial Unicode MS" w:hAnsi="Arial Unicode MS" w:cs="Arial Unicode MS"/>
          <w:color w:val="333333"/>
          <w:sz w:val="22"/>
          <w:szCs w:val="22"/>
          <w:lang w:val="en" w:eastAsia="en-GB"/>
        </w:rPr>
        <w:t>%</w:t>
      </w:r>
      <w:r w:rsidRPr="00732A4D">
        <w:rPr>
          <w:rFonts w:ascii="Arial" w:eastAsia="Times New Roman" w:hAnsi="Arial" w:cs="Arial"/>
          <w:color w:val="333333"/>
          <w:sz w:val="22"/>
          <w:szCs w:val="22"/>
          <w:lang w:val="en" w:eastAsia="en-GB"/>
        </w:rPr>
        <w:t xml:space="preserve"> petrol and 30</w:t>
      </w:r>
      <w:r w:rsidRPr="00732A4D">
        <w:rPr>
          <w:rFonts w:ascii="Arial Unicode MS" w:eastAsia="Arial Unicode MS" w:hAnsi="Arial Unicode MS" w:cs="Arial Unicode MS"/>
          <w:color w:val="333333"/>
          <w:sz w:val="22"/>
          <w:szCs w:val="22"/>
          <w:lang w:val="en" w:eastAsia="en-GB"/>
        </w:rPr>
        <w:t>%</w:t>
      </w:r>
      <w:r w:rsidRPr="00732A4D">
        <w:rPr>
          <w:rFonts w:ascii="Arial" w:eastAsia="Times New Roman" w:hAnsi="Arial" w:cs="Arial"/>
          <w:color w:val="333333"/>
          <w:sz w:val="22"/>
          <w:szCs w:val="22"/>
          <w:lang w:val="en" w:eastAsia="en-GB"/>
        </w:rPr>
        <w:t xml:space="preserve"> diesel) is shown. Heat lost constitutes 30–37</w:t>
      </w:r>
      <w:r w:rsidRPr="00732A4D">
        <w:rPr>
          <w:rFonts w:ascii="Arial Unicode MS" w:eastAsia="Arial Unicode MS" w:hAnsi="Arial Unicode MS" w:cs="Arial Unicode MS"/>
          <w:color w:val="333333"/>
          <w:sz w:val="22"/>
          <w:szCs w:val="22"/>
          <w:lang w:val="en" w:eastAsia="en-GB"/>
        </w:rPr>
        <w:t>%</w:t>
      </w:r>
      <w:r w:rsidRPr="00732A4D">
        <w:rPr>
          <w:rFonts w:ascii="Arial" w:eastAsia="Times New Roman" w:hAnsi="Arial" w:cs="Arial"/>
          <w:color w:val="333333"/>
          <w:sz w:val="22"/>
          <w:szCs w:val="22"/>
          <w:lang w:val="en" w:eastAsia="en-GB"/>
        </w:rPr>
        <w:t xml:space="preserve"> of the energy as a result of exhaust gases with lower energy content and convection. The other losses come from heat dissipation (25–33</w:t>
      </w:r>
      <w:r w:rsidRPr="00732A4D">
        <w:rPr>
          <w:rFonts w:ascii="Arial Unicode MS" w:eastAsia="Arial Unicode MS" w:hAnsi="Arial Unicode MS" w:cs="Arial Unicode MS"/>
          <w:color w:val="333333"/>
          <w:sz w:val="22"/>
          <w:szCs w:val="22"/>
          <w:lang w:val="en" w:eastAsia="en-GB"/>
        </w:rPr>
        <w:t>%</w:t>
      </w:r>
      <w:r w:rsidRPr="00732A4D">
        <w:rPr>
          <w:rFonts w:ascii="Arial" w:eastAsia="Times New Roman" w:hAnsi="Arial" w:cs="Arial"/>
          <w:color w:val="333333"/>
          <w:sz w:val="22"/>
          <w:szCs w:val="22"/>
          <w:lang w:val="en" w:eastAsia="en-GB"/>
        </w:rPr>
        <w:t>), mechanical losses (33–40</w:t>
      </w:r>
      <w:r w:rsidRPr="00732A4D">
        <w:rPr>
          <w:rFonts w:ascii="Arial Unicode MS" w:eastAsia="Arial Unicode MS" w:hAnsi="Arial Unicode MS" w:cs="Arial Unicode MS"/>
          <w:color w:val="333333"/>
          <w:sz w:val="22"/>
          <w:szCs w:val="22"/>
          <w:lang w:val="en" w:eastAsia="en-GB"/>
        </w:rPr>
        <w:t>%</w:t>
      </w:r>
      <w:r w:rsidRPr="00732A4D">
        <w:rPr>
          <w:rFonts w:ascii="Arial" w:eastAsia="Times New Roman" w:hAnsi="Arial" w:cs="Arial"/>
          <w:color w:val="333333"/>
          <w:sz w:val="22"/>
          <w:szCs w:val="22"/>
          <w:lang w:val="en" w:eastAsia="en-GB"/>
        </w:rPr>
        <w:t>), air drag (3–12</w:t>
      </w:r>
      <w:r w:rsidRPr="00732A4D">
        <w:rPr>
          <w:rFonts w:ascii="Arial Unicode MS" w:eastAsia="Arial Unicode MS" w:hAnsi="Arial Unicode MS" w:cs="Arial Unicode MS"/>
          <w:color w:val="333333"/>
          <w:sz w:val="22"/>
          <w:szCs w:val="22"/>
          <w:lang w:val="en" w:eastAsia="en-GB"/>
        </w:rPr>
        <w:t>%</w:t>
      </w:r>
      <w:r w:rsidRPr="00732A4D">
        <w:rPr>
          <w:rFonts w:ascii="Arial" w:eastAsia="Times New Roman" w:hAnsi="Arial" w:cs="Arial"/>
          <w:color w:val="333333"/>
          <w:sz w:val="22"/>
          <w:szCs w:val="22"/>
          <w:lang w:val="en" w:eastAsia="en-GB"/>
        </w:rPr>
        <w:t>), rolling friction (12–45</w:t>
      </w:r>
      <w:r w:rsidRPr="00732A4D">
        <w:rPr>
          <w:rFonts w:ascii="Arial Unicode MS" w:eastAsia="Arial Unicode MS" w:hAnsi="Arial Unicode MS" w:cs="Arial Unicode MS"/>
          <w:color w:val="333333"/>
          <w:sz w:val="22"/>
          <w:szCs w:val="22"/>
          <w:lang w:val="en" w:eastAsia="en-GB"/>
        </w:rPr>
        <w:t>%</w:t>
      </w:r>
      <w:r w:rsidRPr="00732A4D">
        <w:rPr>
          <w:rFonts w:ascii="Arial" w:eastAsia="Times New Roman" w:hAnsi="Arial" w:cs="Arial"/>
          <w:color w:val="333333"/>
          <w:sz w:val="22"/>
          <w:szCs w:val="22"/>
          <w:lang w:val="en" w:eastAsia="en-GB"/>
        </w:rPr>
        <w:t>) and brake losses (about 5</w:t>
      </w:r>
      <w:r w:rsidRPr="00732A4D">
        <w:rPr>
          <w:rFonts w:ascii="Arial Unicode MS" w:eastAsia="Arial Unicode MS" w:hAnsi="Arial Unicode MS" w:cs="Arial Unicode MS"/>
          <w:color w:val="333333"/>
          <w:sz w:val="22"/>
          <w:szCs w:val="22"/>
          <w:lang w:val="en" w:eastAsia="en-GB"/>
        </w:rPr>
        <w:t>%</w:t>
      </w:r>
      <w:r w:rsidRPr="00732A4D">
        <w:rPr>
          <w:rFonts w:ascii="Arial" w:eastAsia="Times New Roman" w:hAnsi="Arial" w:cs="Arial"/>
          <w:color w:val="333333"/>
          <w:sz w:val="22"/>
          <w:szCs w:val="22"/>
          <w:lang w:val="en" w:eastAsia="en-GB"/>
        </w:rPr>
        <w:t>). These losses mean only about 21.5</w:t>
      </w:r>
      <w:r w:rsidRPr="00732A4D">
        <w:rPr>
          <w:rFonts w:ascii="Arial Unicode MS" w:eastAsia="Arial Unicode MS" w:hAnsi="Arial Unicode MS" w:cs="Arial Unicode MS"/>
          <w:color w:val="333333"/>
          <w:sz w:val="22"/>
          <w:szCs w:val="22"/>
          <w:lang w:val="en" w:eastAsia="en-GB"/>
        </w:rPr>
        <w:t>%</w:t>
      </w:r>
      <w:r w:rsidRPr="00732A4D">
        <w:rPr>
          <w:rFonts w:ascii="Arial" w:eastAsia="Times New Roman" w:hAnsi="Arial" w:cs="Arial"/>
          <w:color w:val="333333"/>
          <w:sz w:val="22"/>
          <w:szCs w:val="22"/>
          <w:lang w:val="en" w:eastAsia="en-GB"/>
        </w:rPr>
        <w:t xml:space="preserve"> of the energy is used to move the car. </w:t>
      </w:r>
    </w:p>
    <w:p w:rsidR="00732A4D" w:rsidRPr="00732A4D" w:rsidRDefault="00732A4D" w:rsidP="00732A4D">
      <w:pPr>
        <w:shd w:val="clear" w:color="auto" w:fill="FFFFFF"/>
        <w:spacing w:after="300" w:line="396" w:lineRule="atLeast"/>
        <w:outlineLvl w:val="1"/>
        <w:rPr>
          <w:rFonts w:ascii="Arial" w:eastAsia="Times New Roman" w:hAnsi="Arial" w:cs="Arial"/>
          <w:b/>
          <w:bCs/>
          <w:color w:val="444444"/>
          <w:sz w:val="22"/>
          <w:szCs w:val="22"/>
          <w:lang w:val="en" w:eastAsia="en-GB"/>
        </w:rPr>
      </w:pPr>
      <w:r w:rsidRPr="00732A4D">
        <w:rPr>
          <w:rFonts w:ascii="Arial" w:eastAsia="Times New Roman" w:hAnsi="Arial" w:cs="Arial"/>
          <w:b/>
          <w:bCs/>
          <w:color w:val="444444"/>
          <w:sz w:val="22"/>
          <w:szCs w:val="22"/>
          <w:lang w:val="en" w:eastAsia="en-GB"/>
        </w:rPr>
        <w:t>Internal combustion engines</w:t>
      </w:r>
    </w:p>
    <w:p w:rsidR="00732A4D" w:rsidRPr="00732A4D" w:rsidRDefault="00732A4D" w:rsidP="00732A4D">
      <w:pPr>
        <w:shd w:val="clear" w:color="auto" w:fill="FFFFFF"/>
        <w:spacing w:after="300" w:line="396" w:lineRule="atLeast"/>
        <w:rPr>
          <w:rFonts w:ascii="Arial" w:eastAsia="Times New Roman" w:hAnsi="Arial" w:cs="Arial"/>
          <w:color w:val="333333"/>
          <w:sz w:val="22"/>
          <w:szCs w:val="22"/>
          <w:lang w:val="en" w:eastAsia="en-GB"/>
        </w:rPr>
      </w:pPr>
      <w:r w:rsidRPr="00732A4D">
        <w:rPr>
          <w:rFonts w:ascii="Arial" w:eastAsia="Times New Roman" w:hAnsi="Arial" w:cs="Arial"/>
          <w:color w:val="333333"/>
          <w:sz w:val="22"/>
          <w:szCs w:val="22"/>
          <w:lang w:val="en" w:eastAsia="en-GB"/>
        </w:rPr>
        <w:t>The internal combustion engine using liquid-transportation fuel (or liquid ICE) will probably continue to have a major role over the next few decades. However, improvements to the efficiency of the liquid ICE are possible because the efficiency of most spark-ignition engines is typically 25–35</w:t>
      </w:r>
      <w:r w:rsidRPr="00732A4D">
        <w:rPr>
          <w:rFonts w:ascii="Arial Unicode MS" w:eastAsia="Arial Unicode MS" w:hAnsi="Arial Unicode MS" w:cs="Arial Unicode MS"/>
          <w:color w:val="333333"/>
          <w:sz w:val="22"/>
          <w:szCs w:val="22"/>
          <w:lang w:val="en" w:eastAsia="en-GB"/>
        </w:rPr>
        <w:t>%</w:t>
      </w:r>
      <w:r w:rsidRPr="00732A4D">
        <w:rPr>
          <w:rFonts w:ascii="Arial" w:eastAsia="Times New Roman" w:hAnsi="Arial" w:cs="Arial"/>
          <w:color w:val="333333"/>
          <w:sz w:val="22"/>
          <w:szCs w:val="22"/>
          <w:lang w:val="en" w:eastAsia="en-GB"/>
        </w:rPr>
        <w:t>, whereas that for compression-ignition diesel engines is about 40–50</w:t>
      </w:r>
      <w:r w:rsidRPr="00732A4D">
        <w:rPr>
          <w:rFonts w:ascii="Arial Unicode MS" w:eastAsia="Arial Unicode MS" w:hAnsi="Arial Unicode MS" w:cs="Arial Unicode MS"/>
          <w:color w:val="333333"/>
          <w:sz w:val="22"/>
          <w:szCs w:val="22"/>
          <w:lang w:val="en" w:eastAsia="en-GB"/>
        </w:rPr>
        <w:t>%</w:t>
      </w:r>
      <w:r w:rsidRPr="00732A4D">
        <w:rPr>
          <w:rFonts w:ascii="Arial" w:eastAsia="Times New Roman" w:hAnsi="Arial" w:cs="Arial"/>
          <w:color w:val="333333"/>
          <w:sz w:val="22"/>
          <w:szCs w:val="22"/>
          <w:lang w:val="en" w:eastAsia="en-GB"/>
        </w:rPr>
        <w:t xml:space="preserve">. With direct injection, lean burn and turbocharger technologies, the spark-ignition ICEs operating on premium octane ratings can approach diesel efficiencies. The combination of </w:t>
      </w:r>
      <w:r w:rsidRPr="00732A4D">
        <w:rPr>
          <w:rFonts w:ascii="Arial" w:eastAsia="Times New Roman" w:hAnsi="Arial" w:cs="Arial"/>
          <w:i/>
          <w:iCs/>
          <w:color w:val="333333"/>
          <w:sz w:val="22"/>
          <w:szCs w:val="22"/>
          <w:lang w:val="en" w:eastAsia="en-GB"/>
        </w:rPr>
        <w:t>in situ</w:t>
      </w:r>
      <w:r w:rsidRPr="00732A4D">
        <w:rPr>
          <w:rFonts w:ascii="Arial" w:eastAsia="Times New Roman" w:hAnsi="Arial" w:cs="Arial"/>
          <w:color w:val="333333"/>
          <w:sz w:val="22"/>
          <w:szCs w:val="22"/>
          <w:lang w:val="en" w:eastAsia="en-GB"/>
        </w:rPr>
        <w:t xml:space="preserve"> measurements of prototype ICE designs with detailed simulations, which are made possible with high-performance computers, are increasing the energy efficiency and have lowered </w:t>
      </w:r>
      <w:r w:rsidRPr="00732A4D">
        <w:rPr>
          <w:rFonts w:ascii="Arial" w:eastAsia="Times New Roman" w:hAnsi="Arial" w:cs="Arial"/>
          <w:color w:val="333333"/>
          <w:sz w:val="22"/>
          <w:szCs w:val="22"/>
          <w:lang w:val="en" w:eastAsia="en-GB"/>
        </w:rPr>
        <w:lastRenderedPageBreak/>
        <w:t>emissions</w:t>
      </w:r>
      <w:hyperlink r:id="rId17" w:anchor="ref13" w:tooltip="Schafer, A., Heywood, J. B. &amp; Weiss, M. A. Future fuel cell and internal combustion engine automobile technologies: a 25-year life cycle and fleet impact assessment. Energy 31, 2064-2087 (2006)." w:history="1">
        <w:r w:rsidRPr="00732A4D">
          <w:rPr>
            <w:rFonts w:ascii="Arial" w:eastAsia="Times New Roman" w:hAnsi="Arial" w:cs="Arial"/>
            <w:b/>
            <w:bCs/>
            <w:color w:val="006699"/>
            <w:sz w:val="19"/>
            <w:szCs w:val="19"/>
            <w:vertAlign w:val="superscript"/>
            <w:lang w:val="en" w:eastAsia="en-GB"/>
          </w:rPr>
          <w:t>13</w:t>
        </w:r>
      </w:hyperlink>
      <w:r w:rsidRPr="00732A4D">
        <w:rPr>
          <w:rFonts w:ascii="Arial" w:eastAsia="Times New Roman" w:hAnsi="Arial" w:cs="Arial"/>
          <w:color w:val="333333"/>
          <w:sz w:val="19"/>
          <w:szCs w:val="19"/>
          <w:vertAlign w:val="superscript"/>
          <w:lang w:val="en" w:eastAsia="en-GB"/>
        </w:rPr>
        <w:t xml:space="preserve">, </w:t>
      </w:r>
      <w:hyperlink r:id="rId18" w:anchor="ref14" w:tooltip="Manley, D. K., McIlroy, A. &amp; Taatjes, C. A. Research needs for future internal combustion engines. Physics Today 61, 47-52 (2008)." w:history="1">
        <w:r w:rsidRPr="00732A4D">
          <w:rPr>
            <w:rFonts w:ascii="Arial" w:eastAsia="Times New Roman" w:hAnsi="Arial" w:cs="Arial"/>
            <w:b/>
            <w:bCs/>
            <w:color w:val="006699"/>
            <w:sz w:val="19"/>
            <w:szCs w:val="19"/>
            <w:vertAlign w:val="superscript"/>
            <w:lang w:val="en" w:eastAsia="en-GB"/>
          </w:rPr>
          <w:t>14</w:t>
        </w:r>
      </w:hyperlink>
      <w:r w:rsidRPr="00732A4D">
        <w:rPr>
          <w:rFonts w:ascii="Arial" w:eastAsia="Times New Roman" w:hAnsi="Arial" w:cs="Arial"/>
          <w:color w:val="333333"/>
          <w:sz w:val="22"/>
          <w:szCs w:val="22"/>
          <w:lang w:val="en" w:eastAsia="en-GB"/>
        </w:rPr>
        <w:t xml:space="preserve">. Finally, low-cost waste-heat recovery can increase efficiency, especially in heavy-duty vehicles. Approaches include use of the </w:t>
      </w:r>
      <w:proofErr w:type="spellStart"/>
      <w:r w:rsidRPr="00732A4D">
        <w:rPr>
          <w:rFonts w:ascii="Arial" w:eastAsia="Times New Roman" w:hAnsi="Arial" w:cs="Arial"/>
          <w:color w:val="333333"/>
          <w:sz w:val="22"/>
          <w:szCs w:val="22"/>
          <w:lang w:val="en" w:eastAsia="en-GB"/>
        </w:rPr>
        <w:t>Rankine</w:t>
      </w:r>
      <w:proofErr w:type="spellEnd"/>
      <w:r w:rsidRPr="00732A4D">
        <w:rPr>
          <w:rFonts w:ascii="Arial" w:eastAsia="Times New Roman" w:hAnsi="Arial" w:cs="Arial"/>
          <w:color w:val="333333"/>
          <w:sz w:val="22"/>
          <w:szCs w:val="22"/>
          <w:lang w:val="en" w:eastAsia="en-GB"/>
        </w:rPr>
        <w:t xml:space="preserve"> cycle to convert waste heat to work, and the development of low-cost and high-efficiency solid-state thermoelectric systems</w:t>
      </w:r>
      <w:hyperlink r:id="rId19" w:anchor="ref15" w:tooltip="Yang, J. &amp; Caillat, T. Thermoelectric materials for space and automotive power generation. MRS Bull. 31, 224-229 (2006)." w:history="1">
        <w:r w:rsidRPr="00732A4D">
          <w:rPr>
            <w:rFonts w:ascii="Arial" w:eastAsia="Times New Roman" w:hAnsi="Arial" w:cs="Arial"/>
            <w:b/>
            <w:bCs/>
            <w:color w:val="006699"/>
            <w:sz w:val="19"/>
            <w:szCs w:val="19"/>
            <w:vertAlign w:val="superscript"/>
            <w:lang w:val="en" w:eastAsia="en-GB"/>
          </w:rPr>
          <w:t>15</w:t>
        </w:r>
      </w:hyperlink>
      <w:r w:rsidRPr="00732A4D">
        <w:rPr>
          <w:rFonts w:ascii="Arial" w:eastAsia="Times New Roman" w:hAnsi="Arial" w:cs="Arial"/>
          <w:color w:val="333333"/>
          <w:sz w:val="22"/>
          <w:szCs w:val="22"/>
          <w:lang w:val="en" w:eastAsia="en-GB"/>
        </w:rPr>
        <w:t>.</w:t>
      </w:r>
    </w:p>
    <w:p w:rsidR="00732A4D" w:rsidRPr="00732A4D" w:rsidRDefault="00732A4D" w:rsidP="00732A4D">
      <w:pPr>
        <w:shd w:val="clear" w:color="auto" w:fill="FFFFFF"/>
        <w:spacing w:after="300" w:line="396" w:lineRule="atLeast"/>
        <w:outlineLvl w:val="1"/>
        <w:rPr>
          <w:rFonts w:ascii="Arial" w:eastAsia="Times New Roman" w:hAnsi="Arial" w:cs="Arial"/>
          <w:b/>
          <w:bCs/>
          <w:color w:val="444444"/>
          <w:sz w:val="22"/>
          <w:szCs w:val="22"/>
          <w:lang w:val="en" w:eastAsia="en-GB"/>
        </w:rPr>
      </w:pPr>
      <w:r w:rsidRPr="00732A4D">
        <w:rPr>
          <w:rFonts w:ascii="Arial" w:eastAsia="Times New Roman" w:hAnsi="Arial" w:cs="Arial"/>
          <w:b/>
          <w:bCs/>
          <w:color w:val="444444"/>
          <w:sz w:val="22"/>
          <w:szCs w:val="22"/>
          <w:lang w:val="en" w:eastAsia="en-GB"/>
        </w:rPr>
        <w:t>Battery-based electrification</w:t>
      </w:r>
    </w:p>
    <w:p w:rsidR="00732A4D" w:rsidRPr="00732A4D" w:rsidRDefault="00732A4D" w:rsidP="00732A4D">
      <w:pPr>
        <w:shd w:val="clear" w:color="auto" w:fill="FFFFFF"/>
        <w:spacing w:after="300" w:line="396" w:lineRule="atLeast"/>
        <w:rPr>
          <w:rFonts w:ascii="Arial" w:eastAsia="Times New Roman" w:hAnsi="Arial" w:cs="Arial"/>
          <w:color w:val="333333"/>
          <w:sz w:val="22"/>
          <w:szCs w:val="22"/>
          <w:lang w:val="en" w:eastAsia="en-GB"/>
        </w:rPr>
      </w:pPr>
      <w:r w:rsidRPr="00732A4D">
        <w:rPr>
          <w:rFonts w:ascii="Arial" w:eastAsia="Times New Roman" w:hAnsi="Arial" w:cs="Arial"/>
          <w:color w:val="333333"/>
          <w:sz w:val="22"/>
          <w:szCs w:val="22"/>
          <w:lang w:val="en" w:eastAsia="en-GB"/>
        </w:rPr>
        <w:t>Plug-in hybrid and all-electric light- and medium-duty vehicles have the opportunity to displace a significant amount of liquid fuel use in transportation. The main challenges are performance and cost of the battery systems. The performance of battery systems is quantified by usable energy density, power density (including fast charging), cycle lifetime and robustness. In the past 5–6 years, a remarkable amount of progress in research has been made in battery cathodes, anodes and electrolytes. Large volumetric changes in the electrodes have led to designs in which micro- or nanostructures are embedded in a conducting and flexible matrix to allow for the relief of mechanical stresses. State-of-the-art batteries based on graphite anodes and lithium-manganese-oxide composite cathodes for lithium batteries are being commercialized</w:t>
      </w:r>
      <w:hyperlink r:id="rId20" w:anchor="ref16" w:tooltip="Scrosati, B. &amp; Grache, J. Lithium batteries: status, prospects and future. J. Power Sources 195, 2419-2430 (2010)." w:history="1">
        <w:r w:rsidRPr="00732A4D">
          <w:rPr>
            <w:rFonts w:ascii="Arial" w:eastAsia="Times New Roman" w:hAnsi="Arial" w:cs="Arial"/>
            <w:b/>
            <w:bCs/>
            <w:color w:val="006699"/>
            <w:sz w:val="19"/>
            <w:szCs w:val="19"/>
            <w:vertAlign w:val="superscript"/>
            <w:lang w:val="en" w:eastAsia="en-GB"/>
          </w:rPr>
          <w:t>16</w:t>
        </w:r>
      </w:hyperlink>
      <w:r w:rsidRPr="00732A4D">
        <w:rPr>
          <w:rFonts w:ascii="Arial" w:eastAsia="Times New Roman" w:hAnsi="Arial" w:cs="Arial"/>
          <w:color w:val="333333"/>
          <w:sz w:val="22"/>
          <w:szCs w:val="22"/>
          <w:lang w:val="en" w:eastAsia="en-GB"/>
        </w:rPr>
        <w:t>. Within the next few years, battery system packs of 200 Watt-hour kg</w:t>
      </w:r>
      <w:r w:rsidRPr="00732A4D">
        <w:rPr>
          <w:rFonts w:ascii="Arial" w:eastAsia="Times New Roman" w:hAnsi="Arial" w:cs="Arial"/>
          <w:color w:val="333333"/>
          <w:sz w:val="19"/>
          <w:szCs w:val="19"/>
          <w:vertAlign w:val="superscript"/>
          <w:lang w:val="en" w:eastAsia="en-GB"/>
        </w:rPr>
        <w:t>−1</w:t>
      </w:r>
      <w:r w:rsidRPr="00732A4D">
        <w:rPr>
          <w:rFonts w:ascii="Arial" w:eastAsia="Times New Roman" w:hAnsi="Arial" w:cs="Arial"/>
          <w:color w:val="333333"/>
          <w:sz w:val="22"/>
          <w:szCs w:val="22"/>
          <w:lang w:val="en" w:eastAsia="en-GB"/>
        </w:rPr>
        <w:t xml:space="preserve"> at a charging rate of full charge in 3 hours, which is double the current cell-energy density, are expected to become available. The current production cost of a vehicle battery is estimated to be US</w:t>
      </w:r>
      <w:r w:rsidRPr="00732A4D">
        <w:rPr>
          <w:rFonts w:ascii="Arial Unicode MS" w:eastAsia="Arial Unicode MS" w:hAnsi="Arial Unicode MS" w:cs="Arial Unicode MS"/>
          <w:color w:val="333333"/>
          <w:sz w:val="22"/>
          <w:szCs w:val="22"/>
          <w:lang w:val="en" w:eastAsia="en-GB"/>
        </w:rPr>
        <w:t>$</w:t>
      </w:r>
      <w:r w:rsidRPr="00732A4D">
        <w:rPr>
          <w:rFonts w:ascii="Arial" w:eastAsia="Times New Roman" w:hAnsi="Arial" w:cs="Arial"/>
          <w:color w:val="333333"/>
          <w:sz w:val="22"/>
          <w:szCs w:val="22"/>
          <w:lang w:val="en" w:eastAsia="en-GB"/>
        </w:rPr>
        <w:t>650 kWh</w:t>
      </w:r>
      <w:r w:rsidRPr="00732A4D">
        <w:rPr>
          <w:rFonts w:ascii="Arial" w:eastAsia="Times New Roman" w:hAnsi="Arial" w:cs="Arial"/>
          <w:color w:val="333333"/>
          <w:sz w:val="19"/>
          <w:szCs w:val="19"/>
          <w:vertAlign w:val="superscript"/>
          <w:lang w:val="en" w:eastAsia="en-GB"/>
        </w:rPr>
        <w:t>−1</w:t>
      </w:r>
      <w:r w:rsidRPr="00732A4D">
        <w:rPr>
          <w:rFonts w:ascii="Arial" w:eastAsia="Times New Roman" w:hAnsi="Arial" w:cs="Arial"/>
          <w:color w:val="333333"/>
          <w:sz w:val="22"/>
          <w:szCs w:val="22"/>
          <w:lang w:val="en" w:eastAsia="en-GB"/>
        </w:rPr>
        <w:t xml:space="preserve"> of usable energy storage, but this is expected to drop to below </w:t>
      </w:r>
      <w:r w:rsidRPr="00732A4D">
        <w:rPr>
          <w:rFonts w:ascii="Arial Unicode MS" w:eastAsia="Arial Unicode MS" w:hAnsi="Arial Unicode MS" w:cs="Arial Unicode MS"/>
          <w:color w:val="333333"/>
          <w:sz w:val="22"/>
          <w:szCs w:val="22"/>
          <w:lang w:val="en" w:eastAsia="en-GB"/>
        </w:rPr>
        <w:t>$</w:t>
      </w:r>
      <w:r w:rsidRPr="00732A4D">
        <w:rPr>
          <w:rFonts w:ascii="Arial" w:eastAsia="Times New Roman" w:hAnsi="Arial" w:cs="Arial"/>
          <w:color w:val="333333"/>
          <w:sz w:val="22"/>
          <w:szCs w:val="22"/>
          <w:lang w:val="en" w:eastAsia="en-GB"/>
        </w:rPr>
        <w:t>150 kWh</w:t>
      </w:r>
      <w:r w:rsidRPr="00732A4D">
        <w:rPr>
          <w:rFonts w:ascii="Arial" w:eastAsia="Times New Roman" w:hAnsi="Arial" w:cs="Arial"/>
          <w:color w:val="333333"/>
          <w:sz w:val="19"/>
          <w:szCs w:val="19"/>
          <w:vertAlign w:val="superscript"/>
          <w:lang w:val="en" w:eastAsia="en-GB"/>
        </w:rPr>
        <w:t>−1</w:t>
      </w:r>
      <w:r w:rsidRPr="00732A4D">
        <w:rPr>
          <w:rFonts w:ascii="Arial" w:eastAsia="Times New Roman" w:hAnsi="Arial" w:cs="Arial"/>
          <w:color w:val="333333"/>
          <w:sz w:val="22"/>
          <w:szCs w:val="22"/>
          <w:lang w:val="en" w:eastAsia="en-GB"/>
        </w:rPr>
        <w:t xml:space="preserve"> by 2030 (ref. </w:t>
      </w:r>
      <w:hyperlink r:id="rId21" w:anchor="ref17" w:tooltip="McCone, A. Electric Vehicle Battery Prices Down 14% Year on Year http://www.bnef.com/PressReleases/view/210 (Bloomberg New Energy Finance, 2012)." w:history="1">
        <w:r w:rsidRPr="00732A4D">
          <w:rPr>
            <w:rFonts w:ascii="Arial" w:eastAsia="Times New Roman" w:hAnsi="Arial" w:cs="Arial"/>
            <w:b/>
            <w:bCs/>
            <w:color w:val="006699"/>
            <w:sz w:val="22"/>
            <w:szCs w:val="22"/>
            <w:lang w:val="en" w:eastAsia="en-GB"/>
          </w:rPr>
          <w:t>17</w:t>
        </w:r>
      </w:hyperlink>
      <w:r w:rsidRPr="00732A4D">
        <w:rPr>
          <w:rFonts w:ascii="Arial" w:eastAsia="Times New Roman" w:hAnsi="Arial" w:cs="Arial"/>
          <w:color w:val="333333"/>
          <w:sz w:val="22"/>
          <w:szCs w:val="22"/>
          <w:lang w:val="en" w:eastAsia="en-GB"/>
        </w:rPr>
        <w:t>).</w:t>
      </w:r>
    </w:p>
    <w:p w:rsidR="00732A4D" w:rsidRPr="00732A4D" w:rsidRDefault="00732A4D" w:rsidP="00732A4D">
      <w:pPr>
        <w:shd w:val="clear" w:color="auto" w:fill="FFFFFF"/>
        <w:spacing w:after="300" w:line="396" w:lineRule="atLeast"/>
        <w:rPr>
          <w:rFonts w:ascii="Arial" w:eastAsia="Times New Roman" w:hAnsi="Arial" w:cs="Arial"/>
          <w:color w:val="333333"/>
          <w:sz w:val="22"/>
          <w:szCs w:val="22"/>
          <w:lang w:val="en" w:eastAsia="en-GB"/>
        </w:rPr>
      </w:pPr>
      <w:r w:rsidRPr="00732A4D">
        <w:rPr>
          <w:rFonts w:ascii="Arial" w:eastAsia="Times New Roman" w:hAnsi="Arial" w:cs="Arial"/>
          <w:color w:val="333333"/>
          <w:sz w:val="22"/>
          <w:szCs w:val="22"/>
          <w:lang w:val="en" w:eastAsia="en-GB"/>
        </w:rPr>
        <w:t xml:space="preserve">The US DOE is supporting a research and development effort that would allow a four or five passenger plug-in hybrid electric vehicle (PHEV) or an electric vehicle with about a 160-km range to be competitive as a mass-market ICE car within a decade. The US DOE EV-Everywhere challenge for PHEV, will require the cost of the battery system to be reduced by an estimated </w:t>
      </w:r>
      <w:r w:rsidRPr="00732A4D">
        <w:rPr>
          <w:rFonts w:ascii="Arial Unicode MS" w:eastAsia="Arial Unicode MS" w:hAnsi="Arial Unicode MS" w:cs="Arial Unicode MS"/>
          <w:color w:val="333333"/>
          <w:sz w:val="22"/>
          <w:szCs w:val="22"/>
          <w:lang w:val="en" w:eastAsia="en-GB"/>
        </w:rPr>
        <w:t>$</w:t>
      </w:r>
      <w:r w:rsidRPr="00732A4D">
        <w:rPr>
          <w:rFonts w:ascii="Arial" w:eastAsia="Times New Roman" w:hAnsi="Arial" w:cs="Arial"/>
          <w:color w:val="333333"/>
          <w:sz w:val="22"/>
          <w:szCs w:val="22"/>
          <w:lang w:val="en" w:eastAsia="en-GB"/>
        </w:rPr>
        <w:t>190–300 kWh</w:t>
      </w:r>
      <w:r w:rsidRPr="00732A4D">
        <w:rPr>
          <w:rFonts w:ascii="Arial" w:eastAsia="Times New Roman" w:hAnsi="Arial" w:cs="Arial"/>
          <w:color w:val="333333"/>
          <w:sz w:val="19"/>
          <w:szCs w:val="19"/>
          <w:vertAlign w:val="superscript"/>
          <w:lang w:val="en" w:eastAsia="en-GB"/>
        </w:rPr>
        <w:t>−1</w:t>
      </w:r>
      <w:r w:rsidRPr="00732A4D">
        <w:rPr>
          <w:rFonts w:ascii="Arial" w:eastAsia="Times New Roman" w:hAnsi="Arial" w:cs="Arial"/>
          <w:color w:val="333333"/>
          <w:sz w:val="22"/>
          <w:szCs w:val="22"/>
          <w:lang w:val="en" w:eastAsia="en-GB"/>
        </w:rPr>
        <w:t>, depending on whether the car is a PHEV or an electric vehicle. The development of anode-protecting materials and non-flammable electrolytes that are stable at high voltage and tolerate 55 °</w:t>
      </w:r>
      <w:proofErr w:type="spellStart"/>
      <w:r w:rsidRPr="00732A4D">
        <w:rPr>
          <w:rFonts w:ascii="Arial" w:eastAsia="Times New Roman" w:hAnsi="Arial" w:cs="Arial"/>
          <w:color w:val="333333"/>
          <w:sz w:val="22"/>
          <w:szCs w:val="22"/>
          <w:lang w:val="en" w:eastAsia="en-GB"/>
        </w:rPr>
        <w:t>C are</w:t>
      </w:r>
      <w:proofErr w:type="spellEnd"/>
      <w:r w:rsidRPr="00732A4D">
        <w:rPr>
          <w:rFonts w:ascii="Arial" w:eastAsia="Times New Roman" w:hAnsi="Arial" w:cs="Arial"/>
          <w:color w:val="333333"/>
          <w:sz w:val="22"/>
          <w:szCs w:val="22"/>
          <w:lang w:val="en" w:eastAsia="en-GB"/>
        </w:rPr>
        <w:t xml:space="preserve"> desired characteristics of third-generation lithium-ion batteries. Developing batteries beyond lithium-ion batteries, such as lithium-</w:t>
      </w:r>
      <w:proofErr w:type="spellStart"/>
      <w:r w:rsidRPr="00732A4D">
        <w:rPr>
          <w:rFonts w:ascii="Arial" w:eastAsia="Times New Roman" w:hAnsi="Arial" w:cs="Arial"/>
          <w:color w:val="333333"/>
          <w:sz w:val="22"/>
          <w:szCs w:val="22"/>
          <w:lang w:val="en" w:eastAsia="en-GB"/>
        </w:rPr>
        <w:t>sulphur</w:t>
      </w:r>
      <w:proofErr w:type="spellEnd"/>
      <w:r w:rsidRPr="00732A4D">
        <w:rPr>
          <w:rFonts w:ascii="Arial" w:eastAsia="Times New Roman" w:hAnsi="Arial" w:cs="Arial"/>
          <w:color w:val="333333"/>
          <w:sz w:val="22"/>
          <w:szCs w:val="22"/>
          <w:lang w:val="en" w:eastAsia="en-GB"/>
        </w:rPr>
        <w:t xml:space="preserve"> and metal-air batteries, could achieve up to ten times the energy density of the current lithium-ion batteries, but materials research is needed to develop anode and cathode protection, as well as non-flammable electrolytes with electrochemical stability over a large potential range.</w:t>
      </w:r>
    </w:p>
    <w:p w:rsidR="00732A4D" w:rsidRPr="00732A4D" w:rsidRDefault="00732A4D" w:rsidP="00732A4D">
      <w:pPr>
        <w:shd w:val="clear" w:color="auto" w:fill="FFFFFF"/>
        <w:spacing w:after="300" w:line="396" w:lineRule="atLeast"/>
        <w:rPr>
          <w:rFonts w:ascii="Arial" w:eastAsia="Times New Roman" w:hAnsi="Arial" w:cs="Arial"/>
          <w:color w:val="333333"/>
          <w:sz w:val="22"/>
          <w:szCs w:val="22"/>
          <w:lang w:val="en" w:eastAsia="en-GB"/>
        </w:rPr>
      </w:pPr>
      <w:r w:rsidRPr="00732A4D">
        <w:rPr>
          <w:rFonts w:ascii="Arial" w:eastAsia="Times New Roman" w:hAnsi="Arial" w:cs="Arial"/>
          <w:color w:val="333333"/>
          <w:sz w:val="22"/>
          <w:szCs w:val="22"/>
          <w:lang w:val="en" w:eastAsia="en-GB"/>
        </w:rPr>
        <w:lastRenderedPageBreak/>
        <w:t>Battery packs typically use about 50</w:t>
      </w:r>
      <w:r w:rsidRPr="00732A4D">
        <w:rPr>
          <w:rFonts w:ascii="Arial Unicode MS" w:eastAsia="Arial Unicode MS" w:hAnsi="Arial Unicode MS" w:cs="Arial Unicode MS"/>
          <w:color w:val="333333"/>
          <w:sz w:val="22"/>
          <w:szCs w:val="22"/>
          <w:lang w:val="en" w:eastAsia="en-GB"/>
        </w:rPr>
        <w:t>%</w:t>
      </w:r>
      <w:r w:rsidRPr="00732A4D">
        <w:rPr>
          <w:rFonts w:ascii="Arial" w:eastAsia="Times New Roman" w:hAnsi="Arial" w:cs="Arial"/>
          <w:color w:val="333333"/>
          <w:sz w:val="22"/>
          <w:szCs w:val="22"/>
          <w:lang w:val="en" w:eastAsia="en-GB"/>
        </w:rPr>
        <w:t xml:space="preserve"> of the total battery capacity, and the charging rates are limited to increase the lifetime</w:t>
      </w:r>
      <w:hyperlink r:id="rId22" w:anchor="ref18" w:tooltip="Chan, C. C. The state of the art of electric, hybrid, and fuel cell vehicles. Proc. IEEE 95, 704-718 (2007)." w:history="1">
        <w:r w:rsidRPr="00732A4D">
          <w:rPr>
            <w:rFonts w:ascii="Arial" w:eastAsia="Times New Roman" w:hAnsi="Arial" w:cs="Arial"/>
            <w:b/>
            <w:bCs/>
            <w:color w:val="006699"/>
            <w:sz w:val="19"/>
            <w:szCs w:val="19"/>
            <w:vertAlign w:val="superscript"/>
            <w:lang w:val="en" w:eastAsia="en-GB"/>
          </w:rPr>
          <w:t>18</w:t>
        </w:r>
      </w:hyperlink>
      <w:r w:rsidRPr="00732A4D">
        <w:rPr>
          <w:rFonts w:ascii="Arial" w:eastAsia="Times New Roman" w:hAnsi="Arial" w:cs="Arial"/>
          <w:color w:val="333333"/>
          <w:sz w:val="22"/>
          <w:szCs w:val="22"/>
          <w:lang w:val="en" w:eastAsia="en-GB"/>
        </w:rPr>
        <w:t xml:space="preserve">. </w:t>
      </w:r>
      <w:proofErr w:type="gramStart"/>
      <w:r w:rsidRPr="00732A4D">
        <w:rPr>
          <w:rFonts w:ascii="Arial" w:eastAsia="Times New Roman" w:hAnsi="Arial" w:cs="Arial"/>
          <w:color w:val="333333"/>
          <w:sz w:val="22"/>
          <w:szCs w:val="22"/>
          <w:lang w:val="en" w:eastAsia="en-GB"/>
        </w:rPr>
        <w:t>If sensor technologies are developed that can continuously monitor the properties of individual cells, such as internal impedance, temperature and state of charge, the lifetime and useful capacity could be improved.</w:t>
      </w:r>
      <w:proofErr w:type="gramEnd"/>
      <w:r w:rsidRPr="00732A4D">
        <w:rPr>
          <w:rFonts w:ascii="Arial" w:eastAsia="Times New Roman" w:hAnsi="Arial" w:cs="Arial"/>
          <w:color w:val="333333"/>
          <w:sz w:val="22"/>
          <w:szCs w:val="22"/>
          <w:lang w:val="en" w:eastAsia="en-GB"/>
        </w:rPr>
        <w:t xml:space="preserve"> Standardized battery cells that are designed to be integrated with the original equipment manufacturer's thermal management systems could also reduce cost</w:t>
      </w:r>
      <w:hyperlink r:id="rId23" w:anchor="ref19" w:tooltip="Lukic, S. M., Cao, J., Bansal, R. C., Rodriguez, F. &amp; Emadi, A. Energy storage systems for automotive applications. IEEE Trans. Ind. Electron. 55, 2258-2267 (2008)." w:history="1">
        <w:r w:rsidRPr="00732A4D">
          <w:rPr>
            <w:rFonts w:ascii="Arial" w:eastAsia="Times New Roman" w:hAnsi="Arial" w:cs="Arial"/>
            <w:b/>
            <w:bCs/>
            <w:color w:val="006699"/>
            <w:sz w:val="19"/>
            <w:szCs w:val="19"/>
            <w:vertAlign w:val="superscript"/>
            <w:lang w:val="en" w:eastAsia="en-GB"/>
          </w:rPr>
          <w:t>19</w:t>
        </w:r>
      </w:hyperlink>
      <w:r w:rsidRPr="00732A4D">
        <w:rPr>
          <w:rFonts w:ascii="Arial" w:eastAsia="Times New Roman" w:hAnsi="Arial" w:cs="Arial"/>
          <w:color w:val="333333"/>
          <w:sz w:val="22"/>
          <w:szCs w:val="22"/>
          <w:lang w:val="en" w:eastAsia="en-GB"/>
        </w:rPr>
        <w:t>.</w:t>
      </w:r>
    </w:p>
    <w:p w:rsidR="00732A4D" w:rsidRPr="00732A4D" w:rsidRDefault="00732A4D" w:rsidP="00732A4D">
      <w:pPr>
        <w:shd w:val="clear" w:color="auto" w:fill="FFFFFF"/>
        <w:spacing w:after="300" w:line="396" w:lineRule="atLeast"/>
        <w:outlineLvl w:val="1"/>
        <w:rPr>
          <w:rFonts w:ascii="Arial" w:eastAsia="Times New Roman" w:hAnsi="Arial" w:cs="Arial"/>
          <w:b/>
          <w:bCs/>
          <w:color w:val="444444"/>
          <w:sz w:val="22"/>
          <w:szCs w:val="22"/>
          <w:lang w:val="en" w:eastAsia="en-GB"/>
        </w:rPr>
      </w:pPr>
      <w:r w:rsidRPr="00732A4D">
        <w:rPr>
          <w:rFonts w:ascii="Arial" w:eastAsia="Times New Roman" w:hAnsi="Arial" w:cs="Arial"/>
          <w:b/>
          <w:bCs/>
          <w:color w:val="444444"/>
          <w:sz w:val="22"/>
          <w:szCs w:val="22"/>
          <w:lang w:val="en" w:eastAsia="en-GB"/>
        </w:rPr>
        <w:t>Fuel-cell-based electrification</w:t>
      </w:r>
    </w:p>
    <w:p w:rsidR="00732A4D" w:rsidRPr="00732A4D" w:rsidRDefault="00732A4D" w:rsidP="00732A4D">
      <w:pPr>
        <w:shd w:val="clear" w:color="auto" w:fill="FFFFFF"/>
        <w:spacing w:after="300" w:line="396" w:lineRule="atLeast"/>
        <w:rPr>
          <w:rFonts w:ascii="Arial" w:eastAsia="Times New Roman" w:hAnsi="Arial" w:cs="Arial"/>
          <w:color w:val="333333"/>
          <w:sz w:val="22"/>
          <w:szCs w:val="22"/>
          <w:lang w:val="en" w:eastAsia="en-GB"/>
        </w:rPr>
      </w:pPr>
      <w:r w:rsidRPr="00732A4D">
        <w:rPr>
          <w:rFonts w:ascii="Arial" w:eastAsia="Times New Roman" w:hAnsi="Arial" w:cs="Arial"/>
          <w:color w:val="333333"/>
          <w:sz w:val="22"/>
          <w:szCs w:val="22"/>
          <w:lang w:val="en" w:eastAsia="en-GB"/>
        </w:rPr>
        <w:t>The high efficiency of fuel-cell-powered electric vehicles makes this form of electrification a potentially viable option for the future. Investment in this technology is driven by the potential of extended range and faster fuelling times of moderately low-priced cars. Fuel-cell cost has been lowered and their lifetime increased</w:t>
      </w:r>
      <w:hyperlink r:id="rId24" w:anchor="ref20" w:tooltip="Spendelow, J. &amp; Papageorgopoulos, D. Progress in PEMFC MEA component R&amp;D at the DOE fuel cell technologies program. Fuel Cells 11, 775-786 (2011)." w:history="1">
        <w:r w:rsidRPr="00732A4D">
          <w:rPr>
            <w:rFonts w:ascii="Arial" w:eastAsia="Times New Roman" w:hAnsi="Arial" w:cs="Arial"/>
            <w:b/>
            <w:bCs/>
            <w:color w:val="006699"/>
            <w:sz w:val="19"/>
            <w:szCs w:val="19"/>
            <w:vertAlign w:val="superscript"/>
            <w:lang w:val="en" w:eastAsia="en-GB"/>
          </w:rPr>
          <w:t>20</w:t>
        </w:r>
      </w:hyperlink>
      <w:r w:rsidRPr="00732A4D">
        <w:rPr>
          <w:rFonts w:ascii="Arial" w:eastAsia="Times New Roman" w:hAnsi="Arial" w:cs="Arial"/>
          <w:color w:val="333333"/>
          <w:sz w:val="22"/>
          <w:szCs w:val="22"/>
          <w:lang w:val="en" w:eastAsia="en-GB"/>
        </w:rPr>
        <w:t>, but further gains are needed. Platinum-group catalyst loading has been reduced fivefold since 2005; however, further reductions are needed</w:t>
      </w:r>
      <w:hyperlink r:id="rId25" w:anchor="ref4" w:tooltip="US Department of Energy. Report on the First Quadrennial Technology Review. http://energy.gov/sites/prod/files/QTR_report.pdf (US DOE, 2011)." w:history="1">
        <w:r w:rsidRPr="00732A4D">
          <w:rPr>
            <w:rFonts w:ascii="Arial" w:eastAsia="Times New Roman" w:hAnsi="Arial" w:cs="Arial"/>
            <w:b/>
            <w:bCs/>
            <w:color w:val="006699"/>
            <w:sz w:val="19"/>
            <w:szCs w:val="19"/>
            <w:vertAlign w:val="superscript"/>
            <w:lang w:val="en" w:eastAsia="en-GB"/>
          </w:rPr>
          <w:t>4</w:t>
        </w:r>
      </w:hyperlink>
      <w:r w:rsidRPr="00732A4D">
        <w:rPr>
          <w:rFonts w:ascii="Arial" w:eastAsia="Times New Roman" w:hAnsi="Arial" w:cs="Arial"/>
          <w:color w:val="333333"/>
          <w:sz w:val="19"/>
          <w:szCs w:val="19"/>
          <w:vertAlign w:val="superscript"/>
          <w:lang w:val="en" w:eastAsia="en-GB"/>
        </w:rPr>
        <w:t xml:space="preserve">, </w:t>
      </w:r>
      <w:hyperlink r:id="rId26" w:anchor="ref21" w:tooltip="Debe, M. K. Electrocatalyst approaches and challenges for automotive fuel cells. Nature 486, 43-51 (2012)." w:history="1">
        <w:r w:rsidRPr="00732A4D">
          <w:rPr>
            <w:rFonts w:ascii="Arial" w:eastAsia="Times New Roman" w:hAnsi="Arial" w:cs="Arial"/>
            <w:b/>
            <w:bCs/>
            <w:color w:val="006699"/>
            <w:sz w:val="19"/>
            <w:szCs w:val="19"/>
            <w:vertAlign w:val="superscript"/>
            <w:lang w:val="en" w:eastAsia="en-GB"/>
          </w:rPr>
          <w:t>21</w:t>
        </w:r>
      </w:hyperlink>
      <w:r w:rsidRPr="00732A4D">
        <w:rPr>
          <w:rFonts w:ascii="Arial" w:eastAsia="Times New Roman" w:hAnsi="Arial" w:cs="Arial"/>
          <w:color w:val="333333"/>
          <w:sz w:val="22"/>
          <w:szCs w:val="22"/>
          <w:lang w:val="en" w:eastAsia="en-GB"/>
        </w:rPr>
        <w:t xml:space="preserve">, or these catalysts need to be replaced with less costly alternatives. Costs can also be lowered and performance improved through robust higher-conductivity and higher-temperature membranes, improvements in balance-of-plant components, such as humidifiers and compressors, as well as </w:t>
      </w:r>
      <w:proofErr w:type="spellStart"/>
      <w:r w:rsidRPr="00732A4D">
        <w:rPr>
          <w:rFonts w:ascii="Arial" w:eastAsia="Times New Roman" w:hAnsi="Arial" w:cs="Arial"/>
          <w:color w:val="333333"/>
          <w:sz w:val="22"/>
          <w:szCs w:val="22"/>
          <w:lang w:val="en" w:eastAsia="en-GB"/>
        </w:rPr>
        <w:t>thermofluid</w:t>
      </w:r>
      <w:proofErr w:type="spellEnd"/>
      <w:r w:rsidRPr="00732A4D">
        <w:rPr>
          <w:rFonts w:ascii="Arial" w:eastAsia="Times New Roman" w:hAnsi="Arial" w:cs="Arial"/>
          <w:color w:val="333333"/>
          <w:sz w:val="22"/>
          <w:szCs w:val="22"/>
          <w:lang w:val="en" w:eastAsia="en-GB"/>
        </w:rPr>
        <w:t xml:space="preserve"> design and control.</w:t>
      </w:r>
    </w:p>
    <w:p w:rsidR="00732A4D" w:rsidRPr="00732A4D" w:rsidRDefault="00732A4D" w:rsidP="00732A4D">
      <w:pPr>
        <w:shd w:val="clear" w:color="auto" w:fill="FFFFFF"/>
        <w:spacing w:after="300" w:line="396" w:lineRule="atLeast"/>
        <w:rPr>
          <w:rFonts w:ascii="Arial" w:eastAsia="Times New Roman" w:hAnsi="Arial" w:cs="Arial"/>
          <w:color w:val="333333"/>
          <w:sz w:val="22"/>
          <w:szCs w:val="22"/>
          <w:lang w:val="en" w:eastAsia="en-GB"/>
        </w:rPr>
      </w:pPr>
      <w:r w:rsidRPr="00732A4D">
        <w:rPr>
          <w:rFonts w:ascii="Arial" w:eastAsia="Times New Roman" w:hAnsi="Arial" w:cs="Arial"/>
          <w:color w:val="333333"/>
          <w:sz w:val="22"/>
          <w:szCs w:val="22"/>
          <w:lang w:val="en" w:eastAsia="en-GB"/>
        </w:rPr>
        <w:t>There are inherent volumetric energy density issues for hydrogen-gas storage. To achieve a range of 480 km, fuel-cell electric vehicles need to store about 4–7 kg of hydrogen</w:t>
      </w:r>
      <w:hyperlink r:id="rId27" w:anchor="ref4" w:tooltip="US Department of Energy. Report on the First Quadrennial Technology Review. http://energy.gov/sites/prod/files/QTR_report.pdf (US DOE, 2011)." w:history="1">
        <w:r w:rsidRPr="00732A4D">
          <w:rPr>
            <w:rFonts w:ascii="Arial" w:eastAsia="Times New Roman" w:hAnsi="Arial" w:cs="Arial"/>
            <w:b/>
            <w:bCs/>
            <w:color w:val="006699"/>
            <w:sz w:val="19"/>
            <w:szCs w:val="19"/>
            <w:vertAlign w:val="superscript"/>
            <w:lang w:val="en" w:eastAsia="en-GB"/>
          </w:rPr>
          <w:t>4</w:t>
        </w:r>
      </w:hyperlink>
      <w:r w:rsidRPr="00732A4D">
        <w:rPr>
          <w:rFonts w:ascii="Arial" w:eastAsia="Times New Roman" w:hAnsi="Arial" w:cs="Arial"/>
          <w:color w:val="333333"/>
          <w:sz w:val="19"/>
          <w:szCs w:val="19"/>
          <w:vertAlign w:val="superscript"/>
          <w:lang w:val="en" w:eastAsia="en-GB"/>
        </w:rPr>
        <w:t xml:space="preserve">, </w:t>
      </w:r>
      <w:hyperlink r:id="rId28" w:anchor="ref22" w:tooltip="Yang, J., Sudik, A., Wolverton, C. &amp; Siegel, D. J. High capacity hydrogen storage materials: attributes for automotive applications and techniques for materials discovery. Chem. Soc. Rev. 39, 656-675 (2010)." w:history="1">
        <w:r w:rsidRPr="00732A4D">
          <w:rPr>
            <w:rFonts w:ascii="Arial" w:eastAsia="Times New Roman" w:hAnsi="Arial" w:cs="Arial"/>
            <w:b/>
            <w:bCs/>
            <w:color w:val="006699"/>
            <w:sz w:val="19"/>
            <w:szCs w:val="19"/>
            <w:vertAlign w:val="superscript"/>
            <w:lang w:val="en" w:eastAsia="en-GB"/>
          </w:rPr>
          <w:t>22</w:t>
        </w:r>
      </w:hyperlink>
      <w:r w:rsidRPr="00732A4D">
        <w:rPr>
          <w:rFonts w:ascii="Arial" w:eastAsia="Times New Roman" w:hAnsi="Arial" w:cs="Arial"/>
          <w:color w:val="333333"/>
          <w:sz w:val="22"/>
          <w:szCs w:val="22"/>
          <w:lang w:val="en" w:eastAsia="en-GB"/>
        </w:rPr>
        <w:t>. A carbon-</w:t>
      </w:r>
      <w:proofErr w:type="spellStart"/>
      <w:r w:rsidRPr="00732A4D">
        <w:rPr>
          <w:rFonts w:ascii="Arial" w:eastAsia="Times New Roman" w:hAnsi="Arial" w:cs="Arial"/>
          <w:color w:val="333333"/>
          <w:sz w:val="22"/>
          <w:szCs w:val="22"/>
          <w:lang w:val="en" w:eastAsia="en-GB"/>
        </w:rPr>
        <w:t>fibre</w:t>
      </w:r>
      <w:proofErr w:type="spellEnd"/>
      <w:r w:rsidRPr="00732A4D">
        <w:rPr>
          <w:rFonts w:ascii="Arial" w:eastAsia="Times New Roman" w:hAnsi="Arial" w:cs="Arial"/>
          <w:color w:val="333333"/>
          <w:sz w:val="22"/>
          <w:szCs w:val="22"/>
          <w:lang w:val="en" w:eastAsia="en-GB"/>
        </w:rPr>
        <w:t xml:space="preserve">-composite tank pressurized to 700 </w:t>
      </w:r>
      <w:proofErr w:type="gramStart"/>
      <w:r w:rsidRPr="00732A4D">
        <w:rPr>
          <w:rFonts w:ascii="Arial" w:eastAsia="Times New Roman" w:hAnsi="Arial" w:cs="Arial"/>
          <w:color w:val="333333"/>
          <w:sz w:val="22"/>
          <w:szCs w:val="22"/>
          <w:lang w:val="en" w:eastAsia="en-GB"/>
        </w:rPr>
        <w:t>bar</w:t>
      </w:r>
      <w:proofErr w:type="gramEnd"/>
      <w:r w:rsidRPr="00732A4D">
        <w:rPr>
          <w:rFonts w:ascii="Arial" w:eastAsia="Times New Roman" w:hAnsi="Arial" w:cs="Arial"/>
          <w:color w:val="333333"/>
          <w:sz w:val="22"/>
          <w:szCs w:val="22"/>
          <w:lang w:val="en" w:eastAsia="en-GB"/>
        </w:rPr>
        <w:t xml:space="preserve"> is the best current option for personal vehicles, but this costs</w:t>
      </w:r>
      <w:hyperlink r:id="rId29" w:anchor="ref23" w:tooltip="Paster, M. D. et al. Hydrogen storage technology options for fuel cell vehicles: well-to-wheel costs, energy efficiencies, and greenhouse gas emissions. Int. J. Hydrogen Energy 36, 14534-14551 (2011)." w:history="1">
        <w:r w:rsidRPr="00732A4D">
          <w:rPr>
            <w:rFonts w:ascii="Arial" w:eastAsia="Times New Roman" w:hAnsi="Arial" w:cs="Arial"/>
            <w:b/>
            <w:bCs/>
            <w:color w:val="006699"/>
            <w:sz w:val="19"/>
            <w:szCs w:val="19"/>
            <w:vertAlign w:val="superscript"/>
            <w:lang w:val="en" w:eastAsia="en-GB"/>
          </w:rPr>
          <w:t>23</w:t>
        </w:r>
      </w:hyperlink>
      <w:r w:rsidRPr="00732A4D">
        <w:rPr>
          <w:rFonts w:ascii="Arial" w:eastAsia="Times New Roman" w:hAnsi="Arial" w:cs="Arial"/>
          <w:color w:val="333333"/>
          <w:sz w:val="22"/>
          <w:szCs w:val="22"/>
          <w:lang w:val="en" w:eastAsia="en-GB"/>
        </w:rPr>
        <w:t xml:space="preserve"> about </w:t>
      </w:r>
      <w:r w:rsidRPr="00732A4D">
        <w:rPr>
          <w:rFonts w:ascii="Arial Unicode MS" w:eastAsia="Arial Unicode MS" w:hAnsi="Arial Unicode MS" w:cs="Arial Unicode MS"/>
          <w:color w:val="333333"/>
          <w:sz w:val="22"/>
          <w:szCs w:val="22"/>
          <w:lang w:val="en" w:eastAsia="en-GB"/>
        </w:rPr>
        <w:t>$</w:t>
      </w:r>
      <w:r w:rsidRPr="00732A4D">
        <w:rPr>
          <w:rFonts w:ascii="Arial" w:eastAsia="Times New Roman" w:hAnsi="Arial" w:cs="Arial"/>
          <w:color w:val="333333"/>
          <w:sz w:val="22"/>
          <w:szCs w:val="22"/>
          <w:lang w:val="en" w:eastAsia="en-GB"/>
        </w:rPr>
        <w:t xml:space="preserve">3,000. Research is under way to develop materials and manufacturing processes to reduce the cost of composite tanks. In parallel, researchers are searching for lower-pressure storage assisted by high-surface area materials that could </w:t>
      </w:r>
      <w:proofErr w:type="spellStart"/>
      <w:r w:rsidRPr="00732A4D">
        <w:rPr>
          <w:rFonts w:ascii="Arial" w:eastAsia="Times New Roman" w:hAnsi="Arial" w:cs="Arial"/>
          <w:color w:val="333333"/>
          <w:sz w:val="22"/>
          <w:szCs w:val="22"/>
          <w:lang w:val="en" w:eastAsia="en-GB"/>
        </w:rPr>
        <w:t>physisorb</w:t>
      </w:r>
      <w:proofErr w:type="spellEnd"/>
      <w:r w:rsidRPr="00732A4D">
        <w:rPr>
          <w:rFonts w:ascii="Arial" w:eastAsia="Times New Roman" w:hAnsi="Arial" w:cs="Arial"/>
          <w:color w:val="333333"/>
          <w:sz w:val="22"/>
          <w:szCs w:val="22"/>
          <w:lang w:val="en" w:eastAsia="en-GB"/>
        </w:rPr>
        <w:t xml:space="preserve"> or weakly chemisorb hydrogen and still maintain fast-fuelling times</w:t>
      </w:r>
      <w:hyperlink r:id="rId30" w:anchor="ref24" w:tooltip="David, E. An overview of advanced materials for hydrogen storage. J. Mater. Process. Technol. 162-163, 169-177 (2005)." w:history="1">
        <w:r w:rsidRPr="00732A4D">
          <w:rPr>
            <w:rFonts w:ascii="Arial" w:eastAsia="Times New Roman" w:hAnsi="Arial" w:cs="Arial"/>
            <w:b/>
            <w:bCs/>
            <w:color w:val="006699"/>
            <w:sz w:val="19"/>
            <w:szCs w:val="19"/>
            <w:vertAlign w:val="superscript"/>
            <w:lang w:val="en" w:eastAsia="en-GB"/>
          </w:rPr>
          <w:t>24</w:t>
        </w:r>
      </w:hyperlink>
      <w:r w:rsidRPr="00732A4D">
        <w:rPr>
          <w:rFonts w:ascii="Arial" w:eastAsia="Times New Roman" w:hAnsi="Arial" w:cs="Arial"/>
          <w:color w:val="333333"/>
          <w:sz w:val="19"/>
          <w:szCs w:val="19"/>
          <w:vertAlign w:val="superscript"/>
          <w:lang w:val="en" w:eastAsia="en-GB"/>
        </w:rPr>
        <w:t xml:space="preserve">, </w:t>
      </w:r>
      <w:hyperlink r:id="rId31" w:anchor="ref25" w:tooltip="Murray, L. J., Dinca, M. &amp; Long, J. R. Hydrogen storage in metal-organic frameworks. Chem. Soc. Rev. 38, 1294-1314 (2009)." w:history="1">
        <w:r w:rsidRPr="00732A4D">
          <w:rPr>
            <w:rFonts w:ascii="Arial" w:eastAsia="Times New Roman" w:hAnsi="Arial" w:cs="Arial"/>
            <w:b/>
            <w:bCs/>
            <w:color w:val="006699"/>
            <w:sz w:val="19"/>
            <w:szCs w:val="19"/>
            <w:vertAlign w:val="superscript"/>
            <w:lang w:val="en" w:eastAsia="en-GB"/>
          </w:rPr>
          <w:t>25</w:t>
        </w:r>
      </w:hyperlink>
      <w:r w:rsidRPr="00732A4D">
        <w:rPr>
          <w:rFonts w:ascii="Arial" w:eastAsia="Times New Roman" w:hAnsi="Arial" w:cs="Arial"/>
          <w:color w:val="333333"/>
          <w:sz w:val="22"/>
          <w:szCs w:val="22"/>
          <w:lang w:val="en" w:eastAsia="en-GB"/>
        </w:rPr>
        <w:t>.</w:t>
      </w:r>
    </w:p>
    <w:p w:rsidR="00732A4D" w:rsidRPr="00732A4D" w:rsidRDefault="00732A4D" w:rsidP="00732A4D">
      <w:pPr>
        <w:shd w:val="clear" w:color="auto" w:fill="FFFFFF"/>
        <w:spacing w:after="300" w:line="396" w:lineRule="atLeast"/>
        <w:rPr>
          <w:rFonts w:ascii="Arial" w:eastAsia="Times New Roman" w:hAnsi="Arial" w:cs="Arial"/>
          <w:color w:val="333333"/>
          <w:sz w:val="22"/>
          <w:szCs w:val="22"/>
          <w:lang w:val="en" w:eastAsia="en-GB"/>
        </w:rPr>
      </w:pPr>
      <w:r w:rsidRPr="00732A4D">
        <w:rPr>
          <w:rFonts w:ascii="Arial" w:eastAsia="Times New Roman" w:hAnsi="Arial" w:cs="Arial"/>
          <w:color w:val="333333"/>
          <w:sz w:val="22"/>
          <w:szCs w:val="22"/>
          <w:lang w:val="en" w:eastAsia="en-GB"/>
        </w:rPr>
        <w:t xml:space="preserve">The supply infrastructure and a low-carbon source of hydrogen are also a challenge. The technology advances in shale-gas production, and the possibility of large reserves in Europe and Asia, in addition to the considerable reserves in North America, could have a significant </w:t>
      </w:r>
      <w:proofErr w:type="spellStart"/>
      <w:r w:rsidRPr="00732A4D">
        <w:rPr>
          <w:rFonts w:ascii="Arial" w:eastAsia="Times New Roman" w:hAnsi="Arial" w:cs="Arial"/>
          <w:color w:val="333333"/>
          <w:sz w:val="22"/>
          <w:szCs w:val="22"/>
          <w:lang w:val="en" w:eastAsia="en-GB"/>
        </w:rPr>
        <w:t>affect</w:t>
      </w:r>
      <w:proofErr w:type="spellEnd"/>
      <w:r w:rsidRPr="00732A4D">
        <w:rPr>
          <w:rFonts w:ascii="Arial" w:eastAsia="Times New Roman" w:hAnsi="Arial" w:cs="Arial"/>
          <w:color w:val="333333"/>
          <w:sz w:val="22"/>
          <w:szCs w:val="22"/>
          <w:lang w:val="en" w:eastAsia="en-GB"/>
        </w:rPr>
        <w:t xml:space="preserve"> on the transportation sector. In addition to the direct use of natural gas as a fuel (see later)</w:t>
      </w:r>
      <w:proofErr w:type="gramStart"/>
      <w:r w:rsidRPr="00732A4D">
        <w:rPr>
          <w:rFonts w:ascii="Arial" w:eastAsia="Times New Roman" w:hAnsi="Arial" w:cs="Arial"/>
          <w:color w:val="333333"/>
          <w:sz w:val="22"/>
          <w:szCs w:val="22"/>
          <w:lang w:val="en" w:eastAsia="en-GB"/>
        </w:rPr>
        <w:t>,</w:t>
      </w:r>
      <w:proofErr w:type="gramEnd"/>
      <w:r w:rsidRPr="00732A4D">
        <w:rPr>
          <w:rFonts w:ascii="Arial" w:eastAsia="Times New Roman" w:hAnsi="Arial" w:cs="Arial"/>
          <w:color w:val="333333"/>
          <w:sz w:val="22"/>
          <w:szCs w:val="22"/>
          <w:lang w:val="en" w:eastAsia="en-GB"/>
        </w:rPr>
        <w:t xml:space="preserve"> low-cost natural gas could spur the deployment of local reforming or hydrogen filling stations for near-term hydrogen </w:t>
      </w:r>
      <w:r w:rsidRPr="00732A4D">
        <w:rPr>
          <w:rFonts w:ascii="Arial" w:eastAsia="Times New Roman" w:hAnsi="Arial" w:cs="Arial"/>
          <w:color w:val="333333"/>
          <w:sz w:val="22"/>
          <w:szCs w:val="22"/>
          <w:lang w:val="en" w:eastAsia="en-GB"/>
        </w:rPr>
        <w:lastRenderedPageBreak/>
        <w:t>production. Alternatively, commercial reforming plants, such as hybrid power plants that produce hydrogen as well as CO</w:t>
      </w:r>
      <w:r w:rsidRPr="00732A4D">
        <w:rPr>
          <w:rFonts w:ascii="Arial" w:eastAsia="Times New Roman" w:hAnsi="Arial" w:cs="Arial"/>
          <w:color w:val="333333"/>
          <w:sz w:val="19"/>
          <w:szCs w:val="19"/>
          <w:vertAlign w:val="subscript"/>
          <w:lang w:val="en" w:eastAsia="en-GB"/>
        </w:rPr>
        <w:t>2</w:t>
      </w:r>
      <w:r w:rsidRPr="00732A4D">
        <w:rPr>
          <w:rFonts w:ascii="Arial" w:eastAsia="Times New Roman" w:hAnsi="Arial" w:cs="Arial"/>
          <w:color w:val="333333"/>
          <w:sz w:val="22"/>
          <w:szCs w:val="22"/>
          <w:lang w:val="en" w:eastAsia="en-GB"/>
        </w:rPr>
        <w:t>, for enhanced oil recovery located near oil-field and refinery sites can serve as an economical source of hydrogen</w:t>
      </w:r>
      <w:hyperlink r:id="rId32" w:anchor="ref4" w:tooltip="US Department of Energy. Report on the First Quadrennial Technology Review. http://energy.gov/sites/prod/files/QTR_report.pdf (US DOE, 2011)." w:history="1">
        <w:r w:rsidRPr="00732A4D">
          <w:rPr>
            <w:rFonts w:ascii="Arial" w:eastAsia="Times New Roman" w:hAnsi="Arial" w:cs="Arial"/>
            <w:b/>
            <w:bCs/>
            <w:color w:val="006699"/>
            <w:sz w:val="19"/>
            <w:szCs w:val="19"/>
            <w:vertAlign w:val="superscript"/>
            <w:lang w:val="en" w:eastAsia="en-GB"/>
          </w:rPr>
          <w:t>4</w:t>
        </w:r>
      </w:hyperlink>
      <w:r w:rsidRPr="00732A4D">
        <w:rPr>
          <w:rFonts w:ascii="Arial" w:eastAsia="Times New Roman" w:hAnsi="Arial" w:cs="Arial"/>
          <w:color w:val="333333"/>
          <w:sz w:val="19"/>
          <w:szCs w:val="19"/>
          <w:vertAlign w:val="superscript"/>
          <w:lang w:val="en" w:eastAsia="en-GB"/>
        </w:rPr>
        <w:t xml:space="preserve">, </w:t>
      </w:r>
      <w:hyperlink r:id="rId33" w:anchor="ref26" w:tooltip="Abbas, H. F. &amp; Wan Daud, W. M. A. Hydrogen production by methane decomposition: A review. Int. J. Hydrogen Energy 35, 1160-1190 (2010)." w:history="1">
        <w:r w:rsidRPr="00732A4D">
          <w:rPr>
            <w:rFonts w:ascii="Arial" w:eastAsia="Times New Roman" w:hAnsi="Arial" w:cs="Arial"/>
            <w:b/>
            <w:bCs/>
            <w:color w:val="006699"/>
            <w:sz w:val="19"/>
            <w:szCs w:val="19"/>
            <w:vertAlign w:val="superscript"/>
            <w:lang w:val="en" w:eastAsia="en-GB"/>
          </w:rPr>
          <w:t>26</w:t>
        </w:r>
      </w:hyperlink>
      <w:r w:rsidRPr="00732A4D">
        <w:rPr>
          <w:rFonts w:ascii="Arial" w:eastAsia="Times New Roman" w:hAnsi="Arial" w:cs="Arial"/>
          <w:color w:val="333333"/>
          <w:sz w:val="22"/>
          <w:szCs w:val="22"/>
          <w:lang w:val="en" w:eastAsia="en-GB"/>
        </w:rPr>
        <w:t>. In regions that are close to a large commercial production plant, delivery to local filling stations can be made through high-pressure gaseous tube trailers, but in the long run, a cost-competitive method to produce hydrogen with considerably lower net carbon emissions is needed.</w:t>
      </w:r>
    </w:p>
    <w:p w:rsidR="00732A4D" w:rsidRPr="00732A4D" w:rsidRDefault="00732A4D" w:rsidP="00732A4D">
      <w:pPr>
        <w:shd w:val="clear" w:color="auto" w:fill="FFFFFF"/>
        <w:spacing w:after="300" w:line="396" w:lineRule="atLeast"/>
        <w:outlineLvl w:val="1"/>
        <w:rPr>
          <w:rFonts w:ascii="Arial" w:eastAsia="Times New Roman" w:hAnsi="Arial" w:cs="Arial"/>
          <w:b/>
          <w:bCs/>
          <w:color w:val="444444"/>
          <w:sz w:val="22"/>
          <w:szCs w:val="22"/>
          <w:lang w:val="en" w:eastAsia="en-GB"/>
        </w:rPr>
      </w:pPr>
      <w:r w:rsidRPr="00732A4D">
        <w:rPr>
          <w:rFonts w:ascii="Arial" w:eastAsia="Times New Roman" w:hAnsi="Arial" w:cs="Arial"/>
          <w:b/>
          <w:bCs/>
          <w:color w:val="444444"/>
          <w:sz w:val="22"/>
          <w:szCs w:val="22"/>
          <w:lang w:val="en" w:eastAsia="en-GB"/>
        </w:rPr>
        <w:t>Natural gas for transportation</w:t>
      </w:r>
    </w:p>
    <w:p w:rsidR="00732A4D" w:rsidRPr="00732A4D" w:rsidRDefault="00732A4D" w:rsidP="00732A4D">
      <w:pPr>
        <w:shd w:val="clear" w:color="auto" w:fill="FFFFFF"/>
        <w:spacing w:after="300" w:line="396" w:lineRule="atLeast"/>
        <w:rPr>
          <w:rFonts w:ascii="Arial" w:eastAsia="Times New Roman" w:hAnsi="Arial" w:cs="Arial"/>
          <w:color w:val="333333"/>
          <w:sz w:val="22"/>
          <w:szCs w:val="22"/>
          <w:lang w:val="en" w:eastAsia="en-GB"/>
        </w:rPr>
      </w:pPr>
      <w:r w:rsidRPr="00732A4D">
        <w:rPr>
          <w:rFonts w:ascii="Arial" w:eastAsia="Times New Roman" w:hAnsi="Arial" w:cs="Arial"/>
          <w:color w:val="333333"/>
          <w:sz w:val="22"/>
          <w:szCs w:val="22"/>
          <w:lang w:val="en" w:eastAsia="en-GB"/>
        </w:rPr>
        <w:t xml:space="preserve">The projected low cost of natural gas in the United States in the next few decades compared with that of petrol is expected to lead to wider adoption of natural-gas vehicles. Displacing diesel fuel with liquefied natural gas (LNG) for class 8 tractor-trailer trucks commonly used on long routes in the United States is already economically viable because a typical long-haul truck uses about 90,000 </w:t>
      </w:r>
      <w:proofErr w:type="spellStart"/>
      <w:r w:rsidRPr="00732A4D">
        <w:rPr>
          <w:rFonts w:ascii="Arial" w:eastAsia="Times New Roman" w:hAnsi="Arial" w:cs="Arial"/>
          <w:color w:val="333333"/>
          <w:sz w:val="22"/>
          <w:szCs w:val="22"/>
          <w:lang w:val="en" w:eastAsia="en-GB"/>
        </w:rPr>
        <w:t>litres</w:t>
      </w:r>
      <w:proofErr w:type="spellEnd"/>
      <w:r w:rsidRPr="00732A4D">
        <w:rPr>
          <w:rFonts w:ascii="Arial" w:eastAsia="Times New Roman" w:hAnsi="Arial" w:cs="Arial"/>
          <w:color w:val="333333"/>
          <w:sz w:val="22"/>
          <w:szCs w:val="22"/>
          <w:lang w:val="en" w:eastAsia="en-GB"/>
        </w:rPr>
        <w:t xml:space="preserve"> of fuel per year (about </w:t>
      </w:r>
      <w:r w:rsidRPr="00732A4D">
        <w:rPr>
          <w:rFonts w:ascii="Arial Unicode MS" w:eastAsia="Arial Unicode MS" w:hAnsi="Arial Unicode MS" w:cs="Arial Unicode MS"/>
          <w:color w:val="333333"/>
          <w:sz w:val="22"/>
          <w:szCs w:val="22"/>
          <w:lang w:val="en" w:eastAsia="en-GB"/>
        </w:rPr>
        <w:t>$</w:t>
      </w:r>
      <w:r w:rsidRPr="00732A4D">
        <w:rPr>
          <w:rFonts w:ascii="Arial" w:eastAsia="Times New Roman" w:hAnsi="Arial" w:cs="Arial"/>
          <w:color w:val="333333"/>
          <w:sz w:val="22"/>
          <w:szCs w:val="22"/>
          <w:lang w:val="en" w:eastAsia="en-GB"/>
        </w:rPr>
        <w:t xml:space="preserve">80,000 per year in fuel costs, today). The incremental purchase price of LNG trucks can be up to </w:t>
      </w:r>
      <w:r w:rsidRPr="00732A4D">
        <w:rPr>
          <w:rFonts w:ascii="Arial Unicode MS" w:eastAsia="Arial Unicode MS" w:hAnsi="Arial Unicode MS" w:cs="Arial Unicode MS"/>
          <w:color w:val="333333"/>
          <w:sz w:val="22"/>
          <w:szCs w:val="22"/>
          <w:lang w:val="en" w:eastAsia="en-GB"/>
        </w:rPr>
        <w:t>$</w:t>
      </w:r>
      <w:r w:rsidRPr="00732A4D">
        <w:rPr>
          <w:rFonts w:ascii="Arial" w:eastAsia="Times New Roman" w:hAnsi="Arial" w:cs="Arial"/>
          <w:color w:val="333333"/>
          <w:sz w:val="22"/>
          <w:szCs w:val="22"/>
          <w:lang w:val="en" w:eastAsia="en-GB"/>
        </w:rPr>
        <w:t>100,000 per truck for cryogenic tanks and related upgrades, as a result of low-volume market conditions. Even so, the payback period is currently 3–4 years on a net-present-value basis using a 7</w:t>
      </w:r>
      <w:r w:rsidRPr="00732A4D">
        <w:rPr>
          <w:rFonts w:ascii="Arial Unicode MS" w:eastAsia="Arial Unicode MS" w:hAnsi="Arial Unicode MS" w:cs="Arial Unicode MS"/>
          <w:color w:val="333333"/>
          <w:sz w:val="22"/>
          <w:szCs w:val="22"/>
          <w:lang w:val="en" w:eastAsia="en-GB"/>
        </w:rPr>
        <w:t>%</w:t>
      </w:r>
      <w:r w:rsidRPr="00732A4D">
        <w:rPr>
          <w:rFonts w:ascii="Arial" w:eastAsia="Times New Roman" w:hAnsi="Arial" w:cs="Arial"/>
          <w:color w:val="333333"/>
          <w:sz w:val="22"/>
          <w:szCs w:val="22"/>
          <w:lang w:val="en" w:eastAsia="en-GB"/>
        </w:rPr>
        <w:t xml:space="preserve"> discount rate, and would drop considerably with even modest increases in production volumes</w:t>
      </w:r>
      <w:hyperlink r:id="rId34" w:anchor="ref27" w:tooltip="Krupnick, A. J. Will Natural Gas Vehicles be in Our Future. http://www.rff.org/RFF/Documents/RFF-IB-11-06.pdf (Resources for the Future, 2011)." w:history="1">
        <w:r w:rsidRPr="00732A4D">
          <w:rPr>
            <w:rFonts w:ascii="Arial" w:eastAsia="Times New Roman" w:hAnsi="Arial" w:cs="Arial"/>
            <w:b/>
            <w:bCs/>
            <w:color w:val="006699"/>
            <w:sz w:val="19"/>
            <w:szCs w:val="19"/>
            <w:vertAlign w:val="superscript"/>
            <w:lang w:val="en" w:eastAsia="en-GB"/>
          </w:rPr>
          <w:t>27</w:t>
        </w:r>
      </w:hyperlink>
      <w:r w:rsidRPr="00732A4D">
        <w:rPr>
          <w:rFonts w:ascii="Arial" w:eastAsia="Times New Roman" w:hAnsi="Arial" w:cs="Arial"/>
          <w:color w:val="333333"/>
          <w:sz w:val="22"/>
          <w:szCs w:val="22"/>
          <w:lang w:val="en" w:eastAsia="en-GB"/>
        </w:rPr>
        <w:t>. Developing a fuelling infrastructure for LNG long-haul trucks would require fuelling stations about every 240–320 km for a truck range of 800–960 km. Commercial viability is reinforced by plans in the private sector to make the required investments in infrastructure. LNG-powered freight trains are also being considered.</w:t>
      </w:r>
    </w:p>
    <w:p w:rsidR="00732A4D" w:rsidRPr="00732A4D" w:rsidRDefault="00732A4D" w:rsidP="00732A4D">
      <w:pPr>
        <w:shd w:val="clear" w:color="auto" w:fill="FFFFFF"/>
        <w:spacing w:after="300" w:line="396" w:lineRule="atLeast"/>
        <w:rPr>
          <w:rFonts w:ascii="Arial" w:eastAsia="Times New Roman" w:hAnsi="Arial" w:cs="Arial"/>
          <w:color w:val="333333"/>
          <w:sz w:val="22"/>
          <w:szCs w:val="22"/>
          <w:lang w:val="en" w:eastAsia="en-GB"/>
        </w:rPr>
      </w:pPr>
      <w:r w:rsidRPr="00732A4D">
        <w:rPr>
          <w:rFonts w:ascii="Arial" w:eastAsia="Times New Roman" w:hAnsi="Arial" w:cs="Arial"/>
          <w:color w:val="333333"/>
          <w:sz w:val="22"/>
          <w:szCs w:val="22"/>
          <w:lang w:val="en" w:eastAsia="en-GB"/>
        </w:rPr>
        <w:t>Compressed natural gas (CNG) has been used for buses, delivery trucks and light-duty vehicles. To make vehicles using CNG economically viable without subsidies, low-cost CNG storage technologies are needed. In the United States, light-duty vehicles account for 75</w:t>
      </w:r>
      <w:r w:rsidRPr="00732A4D">
        <w:rPr>
          <w:rFonts w:ascii="Arial Unicode MS" w:eastAsia="Arial Unicode MS" w:hAnsi="Arial Unicode MS" w:cs="Arial Unicode MS"/>
          <w:color w:val="333333"/>
          <w:sz w:val="22"/>
          <w:szCs w:val="22"/>
          <w:lang w:val="en" w:eastAsia="en-GB"/>
        </w:rPr>
        <w:t>%</w:t>
      </w:r>
      <w:r w:rsidRPr="00732A4D">
        <w:rPr>
          <w:rFonts w:ascii="Arial" w:eastAsia="Times New Roman" w:hAnsi="Arial" w:cs="Arial"/>
          <w:color w:val="333333"/>
          <w:sz w:val="22"/>
          <w:szCs w:val="22"/>
          <w:lang w:val="en" w:eastAsia="en-GB"/>
        </w:rPr>
        <w:t xml:space="preserve"> of on-road fuel consumption. There are roughly 160,000 gasoline (petrol) service stations in the United States</w:t>
      </w:r>
      <w:hyperlink r:id="rId35" w:anchor="ref28" w:tooltip="NACS. Key Facts and Figures. http://www.nacsonline.com/NACS/Resources/campaigns/GasPrices_2011/Pages/default.aspx (NACS, 2011)." w:history="1">
        <w:r w:rsidRPr="00732A4D">
          <w:rPr>
            <w:rFonts w:ascii="Arial" w:eastAsia="Times New Roman" w:hAnsi="Arial" w:cs="Arial"/>
            <w:b/>
            <w:bCs/>
            <w:color w:val="006699"/>
            <w:sz w:val="19"/>
            <w:szCs w:val="19"/>
            <w:vertAlign w:val="superscript"/>
            <w:lang w:val="en" w:eastAsia="en-GB"/>
          </w:rPr>
          <w:t>28</w:t>
        </w:r>
      </w:hyperlink>
      <w:r w:rsidRPr="00732A4D">
        <w:rPr>
          <w:rFonts w:ascii="Arial" w:eastAsia="Times New Roman" w:hAnsi="Arial" w:cs="Arial"/>
          <w:color w:val="333333"/>
          <w:sz w:val="22"/>
          <w:szCs w:val="22"/>
          <w:lang w:val="en" w:eastAsia="en-GB"/>
        </w:rPr>
        <w:t xml:space="preserve">; creating a similar nationwide infrastructure for CNG vehicles would be prohibitively expensive (more than </w:t>
      </w:r>
      <w:r w:rsidRPr="00732A4D">
        <w:rPr>
          <w:rFonts w:ascii="Arial Unicode MS" w:eastAsia="Arial Unicode MS" w:hAnsi="Arial Unicode MS" w:cs="Arial Unicode MS"/>
          <w:color w:val="333333"/>
          <w:sz w:val="22"/>
          <w:szCs w:val="22"/>
          <w:lang w:val="en" w:eastAsia="en-GB"/>
        </w:rPr>
        <w:t>$</w:t>
      </w:r>
      <w:r w:rsidRPr="00732A4D">
        <w:rPr>
          <w:rFonts w:ascii="Arial" w:eastAsia="Times New Roman" w:hAnsi="Arial" w:cs="Arial"/>
          <w:color w:val="333333"/>
          <w:sz w:val="22"/>
          <w:szCs w:val="22"/>
          <w:lang w:val="en" w:eastAsia="en-GB"/>
        </w:rPr>
        <w:t xml:space="preserve">100 billion). However, about 60 million homes in the United States have natural-gas delivery. Economic viability for CNG cars and </w:t>
      </w:r>
      <w:proofErr w:type="spellStart"/>
      <w:r w:rsidRPr="00732A4D">
        <w:rPr>
          <w:rFonts w:ascii="Arial" w:eastAsia="Times New Roman" w:hAnsi="Arial" w:cs="Arial"/>
          <w:color w:val="333333"/>
          <w:sz w:val="22"/>
          <w:szCs w:val="22"/>
          <w:lang w:val="en" w:eastAsia="en-GB"/>
        </w:rPr>
        <w:t>refuelling</w:t>
      </w:r>
      <w:proofErr w:type="spellEnd"/>
      <w:r w:rsidRPr="00732A4D">
        <w:rPr>
          <w:rFonts w:ascii="Arial" w:eastAsia="Times New Roman" w:hAnsi="Arial" w:cs="Arial"/>
          <w:color w:val="333333"/>
          <w:sz w:val="22"/>
          <w:szCs w:val="22"/>
          <w:lang w:val="en" w:eastAsia="en-GB"/>
        </w:rPr>
        <w:t xml:space="preserve"> systems can be achieved if the payback period for the additional system-level cost is typically 5 years or less; at present it is about 10–15 years for a vehicle with average mileage. For vehicles with </w:t>
      </w:r>
      <w:r w:rsidRPr="00732A4D">
        <w:rPr>
          <w:rFonts w:ascii="Arial" w:eastAsia="Times New Roman" w:hAnsi="Arial" w:cs="Arial"/>
          <w:color w:val="333333"/>
          <w:sz w:val="22"/>
          <w:szCs w:val="22"/>
          <w:lang w:val="en" w:eastAsia="en-GB"/>
        </w:rPr>
        <w:lastRenderedPageBreak/>
        <w:t xml:space="preserve">high annual mileage and for vehicles with low </w:t>
      </w:r>
      <w:proofErr w:type="spellStart"/>
      <w:r w:rsidRPr="00732A4D">
        <w:rPr>
          <w:rFonts w:ascii="Arial" w:eastAsia="Times New Roman" w:hAnsi="Arial" w:cs="Arial"/>
          <w:color w:val="333333"/>
          <w:sz w:val="22"/>
          <w:szCs w:val="22"/>
          <w:lang w:val="en" w:eastAsia="en-GB"/>
        </w:rPr>
        <w:t>kilometres</w:t>
      </w:r>
      <w:proofErr w:type="spellEnd"/>
      <w:r w:rsidRPr="00732A4D">
        <w:rPr>
          <w:rFonts w:ascii="Arial" w:eastAsia="Times New Roman" w:hAnsi="Arial" w:cs="Arial"/>
          <w:color w:val="333333"/>
          <w:sz w:val="22"/>
          <w:szCs w:val="22"/>
          <w:lang w:val="en" w:eastAsia="en-GB"/>
        </w:rPr>
        <w:t xml:space="preserve"> per </w:t>
      </w:r>
      <w:proofErr w:type="spellStart"/>
      <w:r w:rsidRPr="00732A4D">
        <w:rPr>
          <w:rFonts w:ascii="Arial" w:eastAsia="Times New Roman" w:hAnsi="Arial" w:cs="Arial"/>
          <w:color w:val="333333"/>
          <w:sz w:val="22"/>
          <w:szCs w:val="22"/>
          <w:lang w:val="en" w:eastAsia="en-GB"/>
        </w:rPr>
        <w:t>litre</w:t>
      </w:r>
      <w:proofErr w:type="spellEnd"/>
      <w:r w:rsidRPr="00732A4D">
        <w:rPr>
          <w:rFonts w:ascii="Arial" w:eastAsia="Times New Roman" w:hAnsi="Arial" w:cs="Arial"/>
          <w:color w:val="333333"/>
          <w:sz w:val="22"/>
          <w:szCs w:val="22"/>
          <w:lang w:val="en" w:eastAsia="en-GB"/>
        </w:rPr>
        <w:t xml:space="preserve">, natural-gas vehicles can have less than a 5-year payback, even today. Research into </w:t>
      </w:r>
      <w:proofErr w:type="spellStart"/>
      <w:r w:rsidRPr="00732A4D">
        <w:rPr>
          <w:rFonts w:ascii="Arial" w:eastAsia="Times New Roman" w:hAnsi="Arial" w:cs="Arial"/>
          <w:color w:val="333333"/>
          <w:sz w:val="22"/>
          <w:szCs w:val="22"/>
          <w:lang w:val="en" w:eastAsia="en-GB"/>
        </w:rPr>
        <w:t>fibre</w:t>
      </w:r>
      <w:proofErr w:type="spellEnd"/>
      <w:r w:rsidRPr="00732A4D">
        <w:rPr>
          <w:rFonts w:ascii="Arial" w:eastAsia="Times New Roman" w:hAnsi="Arial" w:cs="Arial"/>
          <w:color w:val="333333"/>
          <w:sz w:val="22"/>
          <w:szCs w:val="22"/>
          <w:lang w:val="en" w:eastAsia="en-GB"/>
        </w:rPr>
        <w:t xml:space="preserve">-matrix composites for high-pressure light-weight tank materials is needed, as well as into natural-gas sorbents for low-pressure storage. Although seldom discussed, </w:t>
      </w:r>
      <w:proofErr w:type="spellStart"/>
      <w:r w:rsidRPr="00732A4D">
        <w:rPr>
          <w:rFonts w:ascii="Arial" w:eastAsia="Times New Roman" w:hAnsi="Arial" w:cs="Arial"/>
          <w:color w:val="333333"/>
          <w:sz w:val="22"/>
          <w:szCs w:val="22"/>
          <w:lang w:val="en" w:eastAsia="en-GB"/>
        </w:rPr>
        <w:t>multifuel</w:t>
      </w:r>
      <w:proofErr w:type="spellEnd"/>
      <w:r w:rsidRPr="00732A4D">
        <w:rPr>
          <w:rFonts w:ascii="Arial" w:eastAsia="Times New Roman" w:hAnsi="Arial" w:cs="Arial"/>
          <w:color w:val="333333"/>
          <w:sz w:val="22"/>
          <w:szCs w:val="22"/>
          <w:lang w:val="en" w:eastAsia="en-GB"/>
        </w:rPr>
        <w:t xml:space="preserve"> ICEs can be designed to operate on CNG for 30-60 km (the CNG–ICE hybrid equivalent of a PHEV) and then switch to petrol. Similar to a PHEV, a CNG–petrol–ICE vehicle could compensate for the partial coverage of CNG fuelling stations.</w:t>
      </w:r>
    </w:p>
    <w:p w:rsidR="00732A4D" w:rsidRPr="00732A4D" w:rsidRDefault="00732A4D" w:rsidP="00732A4D">
      <w:pPr>
        <w:shd w:val="clear" w:color="auto" w:fill="FFFFFF"/>
        <w:spacing w:after="300" w:line="396" w:lineRule="atLeast"/>
        <w:rPr>
          <w:rFonts w:ascii="Arial" w:eastAsia="Times New Roman" w:hAnsi="Arial" w:cs="Arial"/>
          <w:color w:val="333333"/>
          <w:sz w:val="22"/>
          <w:szCs w:val="22"/>
          <w:lang w:val="en" w:eastAsia="en-GB"/>
        </w:rPr>
      </w:pPr>
      <w:r w:rsidRPr="00732A4D">
        <w:rPr>
          <w:rFonts w:ascii="Arial" w:eastAsia="Times New Roman" w:hAnsi="Arial" w:cs="Arial"/>
          <w:color w:val="333333"/>
          <w:sz w:val="22"/>
          <w:szCs w:val="22"/>
          <w:lang w:val="en" w:eastAsia="en-GB"/>
        </w:rPr>
        <w:t>Natural gas can also be converted into liquid fuels using either the Fischer–</w:t>
      </w:r>
      <w:proofErr w:type="spellStart"/>
      <w:r w:rsidRPr="00732A4D">
        <w:rPr>
          <w:rFonts w:ascii="Arial" w:eastAsia="Times New Roman" w:hAnsi="Arial" w:cs="Arial"/>
          <w:color w:val="333333"/>
          <w:sz w:val="22"/>
          <w:szCs w:val="22"/>
          <w:lang w:val="en" w:eastAsia="en-GB"/>
        </w:rPr>
        <w:t>Tropsch</w:t>
      </w:r>
      <w:proofErr w:type="spellEnd"/>
      <w:r w:rsidRPr="00732A4D">
        <w:rPr>
          <w:rFonts w:ascii="Arial" w:eastAsia="Times New Roman" w:hAnsi="Arial" w:cs="Arial"/>
          <w:color w:val="333333"/>
          <w:sz w:val="22"/>
          <w:szCs w:val="22"/>
          <w:lang w:val="en" w:eastAsia="en-GB"/>
        </w:rPr>
        <w:t xml:space="preserve"> or the methanol process. The capital cost per barrel of liquid fuel reduces with increasing capacity of a Fischer–</w:t>
      </w:r>
      <w:proofErr w:type="spellStart"/>
      <w:r w:rsidRPr="00732A4D">
        <w:rPr>
          <w:rFonts w:ascii="Arial" w:eastAsia="Times New Roman" w:hAnsi="Arial" w:cs="Arial"/>
          <w:color w:val="333333"/>
          <w:sz w:val="22"/>
          <w:szCs w:val="22"/>
          <w:lang w:val="en" w:eastAsia="en-GB"/>
        </w:rPr>
        <w:t>Tropsch</w:t>
      </w:r>
      <w:proofErr w:type="spellEnd"/>
      <w:r w:rsidRPr="00732A4D">
        <w:rPr>
          <w:rFonts w:ascii="Arial" w:eastAsia="Times New Roman" w:hAnsi="Arial" w:cs="Arial"/>
          <w:color w:val="333333"/>
          <w:sz w:val="22"/>
          <w:szCs w:val="22"/>
          <w:lang w:val="en" w:eastAsia="en-GB"/>
        </w:rPr>
        <w:t xml:space="preserve"> plant according to scaling laws. However, with increasing capacity, capital costs are suggested to deviate and are higher than scaling </w:t>
      </w:r>
      <w:proofErr w:type="gramStart"/>
      <w:r w:rsidRPr="00732A4D">
        <w:rPr>
          <w:rFonts w:ascii="Arial" w:eastAsia="Times New Roman" w:hAnsi="Arial" w:cs="Arial"/>
          <w:color w:val="333333"/>
          <w:sz w:val="22"/>
          <w:szCs w:val="22"/>
          <w:lang w:val="en" w:eastAsia="en-GB"/>
        </w:rPr>
        <w:t>law predictions, which increases</w:t>
      </w:r>
      <w:proofErr w:type="gramEnd"/>
      <w:r w:rsidRPr="00732A4D">
        <w:rPr>
          <w:rFonts w:ascii="Arial" w:eastAsia="Times New Roman" w:hAnsi="Arial" w:cs="Arial"/>
          <w:color w:val="333333"/>
          <w:sz w:val="22"/>
          <w:szCs w:val="22"/>
          <w:lang w:val="en" w:eastAsia="en-GB"/>
        </w:rPr>
        <w:t xml:space="preserve"> the financial risk for gas-to-liquid plants. Research is needed to find alternative approaches for exciting the carbon–hydrogen bond and synthesizing carbon–carbon bonds. Biological approaches that use organisms, such as </w:t>
      </w:r>
      <w:proofErr w:type="spellStart"/>
      <w:r w:rsidRPr="00732A4D">
        <w:rPr>
          <w:rFonts w:ascii="Arial" w:eastAsia="Times New Roman" w:hAnsi="Arial" w:cs="Arial"/>
          <w:color w:val="333333"/>
          <w:sz w:val="22"/>
          <w:szCs w:val="22"/>
          <w:lang w:val="en" w:eastAsia="en-GB"/>
        </w:rPr>
        <w:t>methanotrophs</w:t>
      </w:r>
      <w:proofErr w:type="spellEnd"/>
      <w:r w:rsidRPr="00732A4D">
        <w:rPr>
          <w:rFonts w:ascii="Arial" w:eastAsia="Times New Roman" w:hAnsi="Arial" w:cs="Arial"/>
          <w:color w:val="333333"/>
          <w:sz w:val="22"/>
          <w:szCs w:val="22"/>
          <w:lang w:val="en" w:eastAsia="en-GB"/>
        </w:rPr>
        <w:t>, that can metabolize natural gas and produce long-chain hydrocarbons seem worth exploring. Even if this approach is successful at laboratory scales, it will need to be scalable to large-volume production. Large quantities of methanol are already produced from natural gas for industrial purposes at costs that are roughly equivalent to petrol. Methanol could be used in a petrol–alcohol blend, much like ethanol in the United States. However, pure or high-percentage methanol-based transportation could face distribution-infrastructure challenges.</w:t>
      </w:r>
    </w:p>
    <w:p w:rsidR="00732A4D" w:rsidRPr="00732A4D" w:rsidRDefault="00732A4D" w:rsidP="00732A4D">
      <w:pPr>
        <w:shd w:val="clear" w:color="auto" w:fill="FFFFFF"/>
        <w:spacing w:after="300" w:line="396" w:lineRule="atLeast"/>
        <w:outlineLvl w:val="1"/>
        <w:rPr>
          <w:rFonts w:ascii="Arial" w:eastAsia="Times New Roman" w:hAnsi="Arial" w:cs="Arial"/>
          <w:b/>
          <w:bCs/>
          <w:color w:val="444444"/>
          <w:sz w:val="22"/>
          <w:szCs w:val="22"/>
          <w:lang w:val="en" w:eastAsia="en-GB"/>
        </w:rPr>
      </w:pPr>
      <w:r w:rsidRPr="00732A4D">
        <w:rPr>
          <w:rFonts w:ascii="Arial" w:eastAsia="Times New Roman" w:hAnsi="Arial" w:cs="Arial"/>
          <w:b/>
          <w:bCs/>
          <w:color w:val="444444"/>
          <w:sz w:val="22"/>
          <w:szCs w:val="22"/>
          <w:lang w:val="en" w:eastAsia="en-GB"/>
        </w:rPr>
        <w:t>Alternative liquid-transportation fuels</w:t>
      </w:r>
    </w:p>
    <w:p w:rsidR="00732A4D" w:rsidRPr="00732A4D" w:rsidRDefault="00732A4D" w:rsidP="00732A4D">
      <w:pPr>
        <w:shd w:val="clear" w:color="auto" w:fill="FFFFFF"/>
        <w:spacing w:after="300" w:line="396" w:lineRule="atLeast"/>
        <w:rPr>
          <w:rFonts w:ascii="Arial" w:eastAsia="Times New Roman" w:hAnsi="Arial" w:cs="Arial"/>
          <w:color w:val="333333"/>
          <w:sz w:val="22"/>
          <w:szCs w:val="22"/>
          <w:lang w:val="en" w:eastAsia="en-GB"/>
        </w:rPr>
      </w:pPr>
      <w:r w:rsidRPr="00732A4D">
        <w:rPr>
          <w:rFonts w:ascii="Arial" w:eastAsia="Times New Roman" w:hAnsi="Arial" w:cs="Arial"/>
          <w:color w:val="333333"/>
          <w:sz w:val="22"/>
          <w:szCs w:val="22"/>
          <w:lang w:val="en" w:eastAsia="en-GB"/>
        </w:rPr>
        <w:t xml:space="preserve">Liquid fuels derived from oil became the main form of energy for transportation largely because of their high energy densities. Associated with their high energy content, the energy transfer rate during vehicle </w:t>
      </w:r>
      <w:proofErr w:type="spellStart"/>
      <w:r w:rsidRPr="00732A4D">
        <w:rPr>
          <w:rFonts w:ascii="Arial" w:eastAsia="Times New Roman" w:hAnsi="Arial" w:cs="Arial"/>
          <w:color w:val="333333"/>
          <w:sz w:val="22"/>
          <w:szCs w:val="22"/>
          <w:lang w:val="en" w:eastAsia="en-GB"/>
        </w:rPr>
        <w:t>refuelling</w:t>
      </w:r>
      <w:proofErr w:type="spellEnd"/>
      <w:r w:rsidRPr="00732A4D">
        <w:rPr>
          <w:rFonts w:ascii="Arial" w:eastAsia="Times New Roman" w:hAnsi="Arial" w:cs="Arial"/>
          <w:color w:val="333333"/>
          <w:sz w:val="22"/>
          <w:szCs w:val="22"/>
          <w:lang w:val="en" w:eastAsia="en-GB"/>
        </w:rPr>
        <w:t xml:space="preserve"> is about 6 MW; in contrast, electrical charging will be tens of kilowatts. Apart from inherent limitations in battery chemistries, there are practical limits to the size of the electrical connector that could accommodate megawatt-scale power transfer. However, a search for alternatives to oil for transportation energy is required to deal with the growing concerns over the rising and volatile price of oil, the vulnerability to supply disruptions, and balance-of-</w:t>
      </w:r>
      <w:r w:rsidRPr="00732A4D">
        <w:rPr>
          <w:rFonts w:ascii="Arial" w:eastAsia="Times New Roman" w:hAnsi="Arial" w:cs="Arial"/>
          <w:color w:val="333333"/>
          <w:sz w:val="22"/>
          <w:szCs w:val="22"/>
          <w:lang w:val="en" w:eastAsia="en-GB"/>
        </w:rPr>
        <w:lastRenderedPageBreak/>
        <w:t>trade issues. Biofuels, particularly those produced domestically at competitive prices, would strengthen a nation's energy and economic security.</w:t>
      </w:r>
    </w:p>
    <w:p w:rsidR="00732A4D" w:rsidRDefault="00732A4D" w:rsidP="00732A4D">
      <w:pPr>
        <w:shd w:val="clear" w:color="auto" w:fill="FFFFFF"/>
        <w:spacing w:after="300" w:line="396" w:lineRule="atLeast"/>
        <w:rPr>
          <w:rFonts w:ascii="Arial" w:eastAsia="Times New Roman" w:hAnsi="Arial" w:cs="Arial"/>
          <w:color w:val="333333"/>
          <w:sz w:val="22"/>
          <w:szCs w:val="22"/>
          <w:lang w:val="en" w:eastAsia="en-GB"/>
        </w:rPr>
      </w:pPr>
      <w:r w:rsidRPr="00732A4D">
        <w:rPr>
          <w:rFonts w:ascii="Arial" w:eastAsia="Times New Roman" w:hAnsi="Arial" w:cs="Arial"/>
          <w:color w:val="333333"/>
          <w:sz w:val="22"/>
          <w:szCs w:val="22"/>
          <w:lang w:val="en" w:eastAsia="en-GB"/>
        </w:rPr>
        <w:t>There are a number of approaches to alternative transportation fuels being actively explored (</w:t>
      </w:r>
      <w:hyperlink r:id="rId36" w:anchor="f3" w:history="1">
        <w:r w:rsidRPr="00732A4D">
          <w:rPr>
            <w:rFonts w:ascii="Arial" w:eastAsia="Times New Roman" w:hAnsi="Arial" w:cs="Arial"/>
            <w:b/>
            <w:bCs/>
            <w:color w:val="006699"/>
            <w:sz w:val="22"/>
            <w:szCs w:val="22"/>
            <w:lang w:val="en" w:eastAsia="en-GB"/>
          </w:rPr>
          <w:t>Fig. 3</w:t>
        </w:r>
      </w:hyperlink>
      <w:r w:rsidRPr="00732A4D">
        <w:rPr>
          <w:rFonts w:ascii="Arial" w:eastAsia="Times New Roman" w:hAnsi="Arial" w:cs="Arial"/>
          <w:color w:val="333333"/>
          <w:sz w:val="22"/>
          <w:szCs w:val="22"/>
          <w:lang w:val="en" w:eastAsia="en-GB"/>
        </w:rPr>
        <w:t xml:space="preserve">). The estimated future (10–15 </w:t>
      </w:r>
      <w:proofErr w:type="gramStart"/>
      <w:r w:rsidRPr="00732A4D">
        <w:rPr>
          <w:rFonts w:ascii="Arial" w:eastAsia="Times New Roman" w:hAnsi="Arial" w:cs="Arial"/>
          <w:color w:val="333333"/>
          <w:sz w:val="22"/>
          <w:szCs w:val="22"/>
          <w:lang w:val="en" w:eastAsia="en-GB"/>
        </w:rPr>
        <w:t>year</w:t>
      </w:r>
      <w:proofErr w:type="gramEnd"/>
      <w:r w:rsidRPr="00732A4D">
        <w:rPr>
          <w:rFonts w:ascii="Arial" w:eastAsia="Times New Roman" w:hAnsi="Arial" w:cs="Arial"/>
          <w:color w:val="333333"/>
          <w:sz w:val="22"/>
          <w:szCs w:val="22"/>
          <w:lang w:val="en" w:eastAsia="en-GB"/>
        </w:rPr>
        <w:t>) costs for classes of alternative fuels can vary</w:t>
      </w:r>
      <w:hyperlink r:id="rId37" w:anchor="ref29" w:tooltip="America's Energy Future Panel. Liquid Transportation Fuels. (National Academies Press, 2009)." w:history="1">
        <w:r w:rsidRPr="00732A4D">
          <w:rPr>
            <w:rFonts w:ascii="Arial" w:eastAsia="Times New Roman" w:hAnsi="Arial" w:cs="Arial"/>
            <w:b/>
            <w:bCs/>
            <w:color w:val="006699"/>
            <w:sz w:val="19"/>
            <w:szCs w:val="19"/>
            <w:vertAlign w:val="superscript"/>
            <w:lang w:val="en" w:eastAsia="en-GB"/>
          </w:rPr>
          <w:t>29</w:t>
        </w:r>
      </w:hyperlink>
      <w:r w:rsidRPr="00732A4D">
        <w:rPr>
          <w:rFonts w:ascii="Arial" w:eastAsia="Times New Roman" w:hAnsi="Arial" w:cs="Arial"/>
          <w:color w:val="333333"/>
          <w:sz w:val="22"/>
          <w:szCs w:val="22"/>
          <w:lang w:val="en" w:eastAsia="en-GB"/>
        </w:rPr>
        <w:t xml:space="preserve"> (</w:t>
      </w:r>
      <w:hyperlink r:id="rId38" w:anchor="f4" w:history="1">
        <w:r w:rsidRPr="00732A4D">
          <w:rPr>
            <w:rFonts w:ascii="Arial" w:eastAsia="Times New Roman" w:hAnsi="Arial" w:cs="Arial"/>
            <w:b/>
            <w:bCs/>
            <w:color w:val="006699"/>
            <w:sz w:val="22"/>
            <w:szCs w:val="22"/>
            <w:lang w:val="en" w:eastAsia="en-GB"/>
          </w:rPr>
          <w:t>Fig. 4</w:t>
        </w:r>
      </w:hyperlink>
      <w:r w:rsidRPr="00732A4D">
        <w:rPr>
          <w:rFonts w:ascii="Arial" w:eastAsia="Times New Roman" w:hAnsi="Arial" w:cs="Arial"/>
          <w:color w:val="333333"/>
          <w:sz w:val="22"/>
          <w:szCs w:val="22"/>
          <w:lang w:val="en" w:eastAsia="en-GB"/>
        </w:rPr>
        <w:t>). The US Environmental Protection Agency (EPA) estimates that Brazilian sugarcane ethanol — already price competitive with oil-based fuels in Brazil — reduces total life-cycle greenhouse gas emissions, including direct and indirect land-use change emissions, by 61</w:t>
      </w:r>
      <w:r w:rsidRPr="00732A4D">
        <w:rPr>
          <w:rFonts w:ascii="Arial Unicode MS" w:eastAsia="Arial Unicode MS" w:hAnsi="Arial Unicode MS" w:cs="Arial Unicode MS"/>
          <w:color w:val="333333"/>
          <w:sz w:val="22"/>
          <w:szCs w:val="22"/>
          <w:lang w:val="en" w:eastAsia="en-GB"/>
        </w:rPr>
        <w:t>%</w:t>
      </w:r>
      <w:r w:rsidRPr="00732A4D">
        <w:rPr>
          <w:rFonts w:ascii="Arial" w:eastAsia="Times New Roman" w:hAnsi="Arial" w:cs="Arial"/>
          <w:color w:val="333333"/>
          <w:sz w:val="22"/>
          <w:szCs w:val="22"/>
          <w:lang w:val="en" w:eastAsia="en-GB"/>
        </w:rPr>
        <w:t xml:space="preserve"> (ref. </w:t>
      </w:r>
      <w:hyperlink r:id="rId39" w:anchor="ref30" w:tooltip="Environmental Protection Agency. Renewable Fuel Standard Program (RFS2): Final Rulemaking http://www.epa.gov/otaq/fuels/renewablefuels/regulations.htm (US Environmental Protection Agency, 2010)." w:history="1">
        <w:r w:rsidRPr="00732A4D">
          <w:rPr>
            <w:rFonts w:ascii="Arial" w:eastAsia="Times New Roman" w:hAnsi="Arial" w:cs="Arial"/>
            <w:b/>
            <w:bCs/>
            <w:color w:val="006699"/>
            <w:sz w:val="22"/>
            <w:szCs w:val="22"/>
            <w:lang w:val="en" w:eastAsia="en-GB"/>
          </w:rPr>
          <w:t>30</w:t>
        </w:r>
      </w:hyperlink>
      <w:r w:rsidRPr="00732A4D">
        <w:rPr>
          <w:rFonts w:ascii="Arial" w:eastAsia="Times New Roman" w:hAnsi="Arial" w:cs="Arial"/>
          <w:color w:val="333333"/>
          <w:sz w:val="22"/>
          <w:szCs w:val="22"/>
          <w:lang w:val="en" w:eastAsia="en-GB"/>
        </w:rPr>
        <w:t>). There are numerous, and sometimes contentious, studies of carbon life-cycle emissions</w:t>
      </w:r>
      <w:hyperlink r:id="rId40" w:anchor="ref30" w:tooltip="Environmental Protection Agency. Renewable Fuel Standard Program (RFS2): Final Rulemaking http://www.epa.gov/otaq/fuels/renewablefuels/regulations.htm (US Environmental Protection Agency, 2010)." w:history="1">
        <w:r w:rsidRPr="00732A4D">
          <w:rPr>
            <w:rFonts w:ascii="Arial" w:eastAsia="Times New Roman" w:hAnsi="Arial" w:cs="Arial"/>
            <w:b/>
            <w:bCs/>
            <w:color w:val="006699"/>
            <w:sz w:val="19"/>
            <w:szCs w:val="19"/>
            <w:vertAlign w:val="superscript"/>
            <w:lang w:val="en" w:eastAsia="en-GB"/>
          </w:rPr>
          <w:t>30</w:t>
        </w:r>
      </w:hyperlink>
      <w:r w:rsidRPr="00732A4D">
        <w:rPr>
          <w:rFonts w:ascii="Arial" w:eastAsia="Times New Roman" w:hAnsi="Arial" w:cs="Arial"/>
          <w:color w:val="333333"/>
          <w:sz w:val="19"/>
          <w:szCs w:val="19"/>
          <w:vertAlign w:val="superscript"/>
          <w:lang w:val="en" w:eastAsia="en-GB"/>
        </w:rPr>
        <w:t xml:space="preserve">, </w:t>
      </w:r>
      <w:hyperlink r:id="rId41" w:anchor="ref31" w:tooltip="United Nations Environment Programme. Towards Sustainable Production of and use of resources: Assessing Biofuels http://www.unep.org/publications/contents/pub_details_search.asp?ID=4082 (United Nations Environment Programme, 2009)." w:history="1">
        <w:r w:rsidRPr="00732A4D">
          <w:rPr>
            <w:rFonts w:ascii="Arial" w:eastAsia="Times New Roman" w:hAnsi="Arial" w:cs="Arial"/>
            <w:b/>
            <w:bCs/>
            <w:color w:val="006699"/>
            <w:sz w:val="19"/>
            <w:szCs w:val="19"/>
            <w:vertAlign w:val="superscript"/>
            <w:lang w:val="en" w:eastAsia="en-GB"/>
          </w:rPr>
          <w:t>31</w:t>
        </w:r>
      </w:hyperlink>
      <w:r w:rsidRPr="00732A4D">
        <w:rPr>
          <w:rFonts w:ascii="Arial" w:eastAsia="Times New Roman" w:hAnsi="Arial" w:cs="Arial"/>
          <w:color w:val="333333"/>
          <w:sz w:val="19"/>
          <w:szCs w:val="19"/>
          <w:vertAlign w:val="superscript"/>
          <w:lang w:val="en" w:eastAsia="en-GB"/>
        </w:rPr>
        <w:t xml:space="preserve">, </w:t>
      </w:r>
      <w:hyperlink r:id="rId42" w:anchor="ref32" w:tooltip="Stratton, R. W., Wong, H. M. &amp; Hileman, J. I. Quantifying variability in life cycle greenhouse gas inventories of alternative middle distillate transportation fuels. Environ. Sci. Technol. 45, 4637-4644 (2011)." w:history="1">
        <w:r w:rsidRPr="00732A4D">
          <w:rPr>
            <w:rFonts w:ascii="Arial" w:eastAsia="Times New Roman" w:hAnsi="Arial" w:cs="Arial"/>
            <w:b/>
            <w:bCs/>
            <w:color w:val="006699"/>
            <w:sz w:val="19"/>
            <w:szCs w:val="19"/>
            <w:vertAlign w:val="superscript"/>
            <w:lang w:val="en" w:eastAsia="en-GB"/>
          </w:rPr>
          <w:t>32</w:t>
        </w:r>
      </w:hyperlink>
      <w:r w:rsidRPr="00732A4D">
        <w:rPr>
          <w:rFonts w:ascii="Arial" w:eastAsia="Times New Roman" w:hAnsi="Arial" w:cs="Arial"/>
          <w:color w:val="333333"/>
          <w:sz w:val="22"/>
          <w:szCs w:val="22"/>
          <w:lang w:val="en" w:eastAsia="en-GB"/>
        </w:rPr>
        <w:t>. Minimization of indirect land-use concerns and the sequestration of process CO</w:t>
      </w:r>
      <w:r w:rsidRPr="00732A4D">
        <w:rPr>
          <w:rFonts w:ascii="Arial" w:eastAsia="Times New Roman" w:hAnsi="Arial" w:cs="Arial"/>
          <w:color w:val="333333"/>
          <w:sz w:val="19"/>
          <w:szCs w:val="19"/>
          <w:vertAlign w:val="subscript"/>
          <w:lang w:val="en" w:eastAsia="en-GB"/>
        </w:rPr>
        <w:t>2</w:t>
      </w:r>
      <w:r w:rsidRPr="00732A4D">
        <w:rPr>
          <w:rFonts w:ascii="Arial" w:eastAsia="Times New Roman" w:hAnsi="Arial" w:cs="Arial"/>
          <w:color w:val="333333"/>
          <w:sz w:val="22"/>
          <w:szCs w:val="22"/>
          <w:lang w:val="en" w:eastAsia="en-GB"/>
        </w:rPr>
        <w:t xml:space="preserve"> could result in net-negative carbon emissions, so that fuel production and use becomes a net carbon sink. On the other hand, if biofuels based on energy-intensive crops were coupled with poor-land management this could result in environmental costs that are far higher than those associated with oil-based fuels</w:t>
      </w:r>
      <w:hyperlink r:id="rId43" w:anchor="ref29" w:tooltip="America's Energy Future Panel. Liquid Transportation Fuels. (National Academies Press, 2009)." w:history="1">
        <w:r w:rsidRPr="00732A4D">
          <w:rPr>
            <w:rFonts w:ascii="Arial" w:eastAsia="Times New Roman" w:hAnsi="Arial" w:cs="Arial"/>
            <w:b/>
            <w:bCs/>
            <w:color w:val="006699"/>
            <w:sz w:val="19"/>
            <w:szCs w:val="19"/>
            <w:vertAlign w:val="superscript"/>
            <w:lang w:val="en" w:eastAsia="en-GB"/>
          </w:rPr>
          <w:t>29</w:t>
        </w:r>
      </w:hyperlink>
      <w:r w:rsidRPr="00732A4D">
        <w:rPr>
          <w:rFonts w:ascii="Arial" w:eastAsia="Times New Roman" w:hAnsi="Arial" w:cs="Arial"/>
          <w:color w:val="333333"/>
          <w:sz w:val="22"/>
          <w:szCs w:val="22"/>
          <w:lang w:val="en" w:eastAsia="en-GB"/>
        </w:rPr>
        <w:t>.</w:t>
      </w:r>
    </w:p>
    <w:p w:rsidR="00732A4D" w:rsidRDefault="00732A4D" w:rsidP="00732A4D">
      <w:pPr>
        <w:shd w:val="clear" w:color="auto" w:fill="FFFFFF"/>
        <w:spacing w:after="300" w:line="396" w:lineRule="atLeast"/>
        <w:rPr>
          <w:rFonts w:ascii="Arial" w:eastAsia="Times New Roman" w:hAnsi="Arial" w:cs="Arial"/>
          <w:color w:val="333333"/>
          <w:sz w:val="22"/>
          <w:szCs w:val="22"/>
          <w:lang w:val="en" w:eastAsia="en-GB"/>
        </w:rPr>
      </w:pPr>
    </w:p>
    <w:p w:rsidR="00732A4D" w:rsidRDefault="00732A4D" w:rsidP="00732A4D">
      <w:pPr>
        <w:shd w:val="clear" w:color="auto" w:fill="FFFFFF"/>
        <w:spacing w:after="300" w:line="396" w:lineRule="atLeast"/>
        <w:rPr>
          <w:rFonts w:ascii="Arial" w:eastAsia="Times New Roman" w:hAnsi="Arial" w:cs="Arial"/>
          <w:color w:val="333333"/>
          <w:sz w:val="22"/>
          <w:szCs w:val="22"/>
          <w:lang w:val="en" w:eastAsia="en-GB"/>
        </w:rPr>
      </w:pPr>
    </w:p>
    <w:p w:rsidR="00732A4D" w:rsidRPr="00732A4D" w:rsidRDefault="00732A4D" w:rsidP="00732A4D">
      <w:pPr>
        <w:shd w:val="clear" w:color="auto" w:fill="FFFFFF"/>
        <w:spacing w:after="300" w:line="396" w:lineRule="atLeast"/>
        <w:rPr>
          <w:rFonts w:ascii="Arial" w:eastAsia="Times New Roman" w:hAnsi="Arial" w:cs="Arial"/>
          <w:color w:val="333333"/>
          <w:sz w:val="22"/>
          <w:szCs w:val="22"/>
          <w:lang w:val="en" w:eastAsia="en-GB"/>
        </w:rPr>
      </w:pPr>
    </w:p>
    <w:p w:rsidR="00732A4D" w:rsidRDefault="00732A4D" w:rsidP="00732A4D">
      <w:pPr>
        <w:shd w:val="clear" w:color="auto" w:fill="FFFFFF"/>
        <w:spacing w:line="396" w:lineRule="atLeast"/>
        <w:rPr>
          <w:rFonts w:ascii="Arial" w:eastAsia="Times New Roman" w:hAnsi="Arial" w:cs="Arial"/>
          <w:b/>
          <w:bCs/>
          <w:color w:val="444444"/>
          <w:sz w:val="22"/>
          <w:szCs w:val="22"/>
          <w:lang w:val="en" w:eastAsia="en-GB"/>
        </w:rPr>
      </w:pPr>
    </w:p>
    <w:p w:rsidR="00732A4D" w:rsidRDefault="00732A4D" w:rsidP="00732A4D">
      <w:pPr>
        <w:shd w:val="clear" w:color="auto" w:fill="FFFFFF"/>
        <w:spacing w:line="396" w:lineRule="atLeast"/>
        <w:rPr>
          <w:rFonts w:ascii="Arial" w:eastAsia="Times New Roman" w:hAnsi="Arial" w:cs="Arial"/>
          <w:b/>
          <w:bCs/>
          <w:color w:val="444444"/>
          <w:sz w:val="22"/>
          <w:szCs w:val="22"/>
          <w:lang w:val="en" w:eastAsia="en-GB"/>
        </w:rPr>
      </w:pPr>
    </w:p>
    <w:p w:rsidR="00732A4D" w:rsidRDefault="00732A4D" w:rsidP="00732A4D">
      <w:pPr>
        <w:shd w:val="clear" w:color="auto" w:fill="FFFFFF"/>
        <w:spacing w:line="396" w:lineRule="atLeast"/>
        <w:rPr>
          <w:rFonts w:ascii="Arial" w:eastAsia="Times New Roman" w:hAnsi="Arial" w:cs="Arial"/>
          <w:b/>
          <w:bCs/>
          <w:color w:val="444444"/>
          <w:sz w:val="22"/>
          <w:szCs w:val="22"/>
          <w:lang w:val="en" w:eastAsia="en-GB"/>
        </w:rPr>
      </w:pPr>
    </w:p>
    <w:p w:rsidR="00732A4D" w:rsidRDefault="00732A4D" w:rsidP="00732A4D">
      <w:pPr>
        <w:shd w:val="clear" w:color="auto" w:fill="FFFFFF"/>
        <w:spacing w:line="396" w:lineRule="atLeast"/>
        <w:rPr>
          <w:rFonts w:ascii="Arial" w:eastAsia="Times New Roman" w:hAnsi="Arial" w:cs="Arial"/>
          <w:b/>
          <w:bCs/>
          <w:color w:val="444444"/>
          <w:sz w:val="22"/>
          <w:szCs w:val="22"/>
          <w:lang w:val="en" w:eastAsia="en-GB"/>
        </w:rPr>
      </w:pPr>
    </w:p>
    <w:p w:rsidR="00732A4D" w:rsidRDefault="00732A4D" w:rsidP="00732A4D">
      <w:pPr>
        <w:shd w:val="clear" w:color="auto" w:fill="FFFFFF"/>
        <w:spacing w:line="396" w:lineRule="atLeast"/>
        <w:rPr>
          <w:rFonts w:ascii="Arial" w:eastAsia="Times New Roman" w:hAnsi="Arial" w:cs="Arial"/>
          <w:b/>
          <w:bCs/>
          <w:color w:val="444444"/>
          <w:sz w:val="22"/>
          <w:szCs w:val="22"/>
          <w:lang w:val="en" w:eastAsia="en-GB"/>
        </w:rPr>
      </w:pPr>
    </w:p>
    <w:p w:rsidR="00732A4D" w:rsidRDefault="00732A4D" w:rsidP="00732A4D">
      <w:pPr>
        <w:shd w:val="clear" w:color="auto" w:fill="FFFFFF"/>
        <w:spacing w:line="396" w:lineRule="atLeast"/>
        <w:rPr>
          <w:rFonts w:ascii="Arial" w:eastAsia="Times New Roman" w:hAnsi="Arial" w:cs="Arial"/>
          <w:b/>
          <w:bCs/>
          <w:color w:val="444444"/>
          <w:sz w:val="22"/>
          <w:szCs w:val="22"/>
          <w:lang w:val="en" w:eastAsia="en-GB"/>
        </w:rPr>
      </w:pPr>
    </w:p>
    <w:p w:rsidR="00732A4D" w:rsidRDefault="00732A4D" w:rsidP="00732A4D">
      <w:pPr>
        <w:shd w:val="clear" w:color="auto" w:fill="FFFFFF"/>
        <w:spacing w:line="396" w:lineRule="atLeast"/>
        <w:rPr>
          <w:rFonts w:ascii="Arial" w:eastAsia="Times New Roman" w:hAnsi="Arial" w:cs="Arial"/>
          <w:b/>
          <w:bCs/>
          <w:color w:val="444444"/>
          <w:sz w:val="22"/>
          <w:szCs w:val="22"/>
          <w:lang w:val="en" w:eastAsia="en-GB"/>
        </w:rPr>
      </w:pPr>
    </w:p>
    <w:p w:rsidR="00732A4D" w:rsidRDefault="00732A4D" w:rsidP="00732A4D">
      <w:pPr>
        <w:shd w:val="clear" w:color="auto" w:fill="FFFFFF"/>
        <w:spacing w:line="396" w:lineRule="atLeast"/>
        <w:rPr>
          <w:rFonts w:ascii="Arial" w:eastAsia="Times New Roman" w:hAnsi="Arial" w:cs="Arial"/>
          <w:b/>
          <w:bCs/>
          <w:color w:val="444444"/>
          <w:sz w:val="22"/>
          <w:szCs w:val="22"/>
          <w:lang w:val="en" w:eastAsia="en-GB"/>
        </w:rPr>
      </w:pPr>
    </w:p>
    <w:p w:rsidR="00732A4D" w:rsidRDefault="00732A4D" w:rsidP="00732A4D">
      <w:pPr>
        <w:shd w:val="clear" w:color="auto" w:fill="FFFFFF"/>
        <w:spacing w:line="396" w:lineRule="atLeast"/>
        <w:rPr>
          <w:rFonts w:ascii="Arial" w:eastAsia="Times New Roman" w:hAnsi="Arial" w:cs="Arial"/>
          <w:b/>
          <w:bCs/>
          <w:color w:val="444444"/>
          <w:sz w:val="22"/>
          <w:szCs w:val="22"/>
          <w:lang w:val="en" w:eastAsia="en-GB"/>
        </w:rPr>
      </w:pPr>
    </w:p>
    <w:p w:rsidR="00732A4D" w:rsidRDefault="00732A4D" w:rsidP="00732A4D">
      <w:pPr>
        <w:shd w:val="clear" w:color="auto" w:fill="FFFFFF"/>
        <w:spacing w:line="396" w:lineRule="atLeast"/>
        <w:rPr>
          <w:rFonts w:ascii="Arial" w:eastAsia="Times New Roman" w:hAnsi="Arial" w:cs="Arial"/>
          <w:b/>
          <w:bCs/>
          <w:color w:val="444444"/>
          <w:sz w:val="22"/>
          <w:szCs w:val="22"/>
          <w:lang w:val="en" w:eastAsia="en-GB"/>
        </w:rPr>
      </w:pPr>
    </w:p>
    <w:p w:rsidR="00732A4D" w:rsidRDefault="00732A4D" w:rsidP="00732A4D">
      <w:pPr>
        <w:shd w:val="clear" w:color="auto" w:fill="FFFFFF"/>
        <w:spacing w:line="396" w:lineRule="atLeast"/>
        <w:rPr>
          <w:rFonts w:ascii="Arial" w:eastAsia="Times New Roman" w:hAnsi="Arial" w:cs="Arial"/>
          <w:b/>
          <w:bCs/>
          <w:color w:val="444444"/>
          <w:sz w:val="22"/>
          <w:szCs w:val="22"/>
          <w:lang w:val="en" w:eastAsia="en-GB"/>
        </w:rPr>
      </w:pPr>
    </w:p>
    <w:p w:rsidR="00732A4D" w:rsidRDefault="00732A4D" w:rsidP="00732A4D">
      <w:pPr>
        <w:shd w:val="clear" w:color="auto" w:fill="FFFFFF"/>
        <w:spacing w:line="396" w:lineRule="atLeast"/>
        <w:rPr>
          <w:rFonts w:ascii="Arial" w:eastAsia="Times New Roman" w:hAnsi="Arial" w:cs="Arial"/>
          <w:b/>
          <w:bCs/>
          <w:color w:val="444444"/>
          <w:sz w:val="22"/>
          <w:szCs w:val="22"/>
          <w:lang w:val="en" w:eastAsia="en-GB"/>
        </w:rPr>
      </w:pPr>
    </w:p>
    <w:p w:rsidR="00732A4D" w:rsidRDefault="00732A4D" w:rsidP="00732A4D">
      <w:pPr>
        <w:shd w:val="clear" w:color="auto" w:fill="FFFFFF"/>
        <w:spacing w:line="396" w:lineRule="atLeast"/>
        <w:rPr>
          <w:rFonts w:ascii="Arial" w:eastAsia="Times New Roman" w:hAnsi="Arial" w:cs="Arial"/>
          <w:b/>
          <w:bCs/>
          <w:color w:val="444444"/>
          <w:sz w:val="22"/>
          <w:szCs w:val="22"/>
          <w:lang w:val="en" w:eastAsia="en-GB"/>
        </w:rPr>
      </w:pPr>
    </w:p>
    <w:p w:rsidR="00732A4D" w:rsidRPr="00732A4D" w:rsidRDefault="00732A4D" w:rsidP="00732A4D">
      <w:pPr>
        <w:shd w:val="clear" w:color="auto" w:fill="FFFFFF"/>
        <w:spacing w:line="396" w:lineRule="atLeast"/>
        <w:rPr>
          <w:rFonts w:ascii="Arial" w:eastAsia="Times New Roman" w:hAnsi="Arial" w:cs="Arial"/>
          <w:color w:val="333333"/>
          <w:sz w:val="22"/>
          <w:szCs w:val="22"/>
          <w:lang w:val="en" w:eastAsia="en-GB"/>
        </w:rPr>
      </w:pPr>
      <w:r w:rsidRPr="00732A4D">
        <w:rPr>
          <w:rFonts w:ascii="Arial" w:eastAsia="Times New Roman" w:hAnsi="Arial" w:cs="Arial"/>
          <w:b/>
          <w:bCs/>
          <w:color w:val="444444"/>
          <w:sz w:val="22"/>
          <w:szCs w:val="22"/>
          <w:lang w:val="en" w:eastAsia="en-GB"/>
        </w:rPr>
        <w:lastRenderedPageBreak/>
        <w:t xml:space="preserve">Figure 3: Methods of producing alternative fuels from various </w:t>
      </w:r>
      <w:proofErr w:type="spellStart"/>
      <w:r w:rsidRPr="00732A4D">
        <w:rPr>
          <w:rFonts w:ascii="Arial" w:eastAsia="Times New Roman" w:hAnsi="Arial" w:cs="Arial"/>
          <w:b/>
          <w:bCs/>
          <w:color w:val="444444"/>
          <w:sz w:val="22"/>
          <w:szCs w:val="22"/>
          <w:lang w:val="en" w:eastAsia="en-GB"/>
        </w:rPr>
        <w:t>feedstocks</w:t>
      </w:r>
      <w:proofErr w:type="spellEnd"/>
      <w:r w:rsidRPr="00732A4D">
        <w:rPr>
          <w:rFonts w:ascii="Arial" w:eastAsia="Times New Roman" w:hAnsi="Arial" w:cs="Arial"/>
          <w:b/>
          <w:bCs/>
          <w:color w:val="444444"/>
          <w:sz w:val="22"/>
          <w:szCs w:val="22"/>
          <w:lang w:val="en" w:eastAsia="en-GB"/>
        </w:rPr>
        <w:t xml:space="preserve"> to products. </w:t>
      </w:r>
    </w:p>
    <w:p w:rsidR="00732A4D" w:rsidRPr="00732A4D" w:rsidRDefault="00732A4D" w:rsidP="00732A4D">
      <w:pPr>
        <w:shd w:val="clear" w:color="auto" w:fill="FFFFFF"/>
        <w:spacing w:line="396" w:lineRule="atLeast"/>
        <w:rPr>
          <w:rFonts w:ascii="Arial" w:eastAsia="Times New Roman" w:hAnsi="Arial" w:cs="Arial"/>
          <w:color w:val="333333"/>
          <w:sz w:val="22"/>
          <w:szCs w:val="22"/>
          <w:lang w:val="en" w:eastAsia="en-GB"/>
        </w:rPr>
      </w:pPr>
      <w:r>
        <w:rPr>
          <w:rFonts w:ascii="Arial" w:eastAsia="Times New Roman" w:hAnsi="Arial" w:cs="Arial"/>
          <w:b/>
          <w:bCs/>
          <w:noProof/>
          <w:color w:val="006699"/>
          <w:sz w:val="22"/>
          <w:szCs w:val="22"/>
          <w:lang w:eastAsia="en-GB"/>
        </w:rPr>
        <w:drawing>
          <wp:inline distT="0" distB="0" distL="0" distR="0">
            <wp:extent cx="5219700" cy="2862136"/>
            <wp:effectExtent l="0" t="0" r="0" b="0"/>
            <wp:docPr id="10" name="Picture 10" descr="Methods of producing alternative fuels from various feedstocks to products.">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Methods of producing alternative fuels from various feedstocks to products.">
                      <a:hlinkClick r:id="rId44"/>
                    </pic:cNvPr>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5219700" cy="2862136"/>
                    </a:xfrm>
                    <a:prstGeom prst="rect">
                      <a:avLst/>
                    </a:prstGeom>
                    <a:noFill/>
                    <a:ln>
                      <a:noFill/>
                    </a:ln>
                  </pic:spPr>
                </pic:pic>
              </a:graphicData>
            </a:graphic>
          </wp:inline>
        </w:drawing>
      </w:r>
    </w:p>
    <w:p w:rsidR="00732A4D" w:rsidRPr="00732A4D" w:rsidRDefault="00732A4D" w:rsidP="00732A4D">
      <w:pPr>
        <w:shd w:val="clear" w:color="auto" w:fill="FFFFFF"/>
        <w:spacing w:after="300" w:line="396" w:lineRule="atLeast"/>
        <w:rPr>
          <w:rFonts w:ascii="Arial" w:eastAsia="Times New Roman" w:hAnsi="Arial" w:cs="Arial"/>
          <w:color w:val="333333"/>
          <w:sz w:val="22"/>
          <w:szCs w:val="22"/>
          <w:lang w:val="en" w:eastAsia="en-GB"/>
        </w:rPr>
      </w:pPr>
      <w:r w:rsidRPr="00732A4D">
        <w:rPr>
          <w:rFonts w:ascii="Arial" w:eastAsia="Times New Roman" w:hAnsi="Arial" w:cs="Arial"/>
          <w:color w:val="333333"/>
          <w:sz w:val="22"/>
          <w:szCs w:val="22"/>
          <w:lang w:val="en" w:eastAsia="en-GB"/>
        </w:rPr>
        <w:t xml:space="preserve">Various </w:t>
      </w:r>
      <w:proofErr w:type="spellStart"/>
      <w:r w:rsidRPr="00732A4D">
        <w:rPr>
          <w:rFonts w:ascii="Arial" w:eastAsia="Times New Roman" w:hAnsi="Arial" w:cs="Arial"/>
          <w:color w:val="333333"/>
          <w:sz w:val="22"/>
          <w:szCs w:val="22"/>
          <w:lang w:val="en" w:eastAsia="en-GB"/>
        </w:rPr>
        <w:t>feedstocks</w:t>
      </w:r>
      <w:proofErr w:type="spellEnd"/>
      <w:r w:rsidRPr="00732A4D">
        <w:rPr>
          <w:rFonts w:ascii="Arial" w:eastAsia="Times New Roman" w:hAnsi="Arial" w:cs="Arial"/>
          <w:color w:val="333333"/>
          <w:sz w:val="22"/>
          <w:szCs w:val="22"/>
          <w:lang w:val="en" w:eastAsia="en-GB"/>
        </w:rPr>
        <w:t xml:space="preserve"> are being explored, and the pathways for producing energy or fuel investigated. </w:t>
      </w:r>
    </w:p>
    <w:p w:rsidR="00732A4D" w:rsidRDefault="00732A4D" w:rsidP="00732A4D">
      <w:pPr>
        <w:shd w:val="clear" w:color="auto" w:fill="FFFFFF"/>
        <w:spacing w:line="396" w:lineRule="atLeast"/>
        <w:rPr>
          <w:rFonts w:ascii="Arial" w:eastAsia="Times New Roman" w:hAnsi="Arial" w:cs="Arial"/>
          <w:color w:val="333333"/>
          <w:sz w:val="22"/>
          <w:szCs w:val="22"/>
          <w:lang w:val="en" w:eastAsia="en-GB"/>
        </w:rPr>
      </w:pPr>
    </w:p>
    <w:p w:rsidR="00732A4D" w:rsidRPr="00732A4D" w:rsidRDefault="00732A4D" w:rsidP="00732A4D">
      <w:pPr>
        <w:shd w:val="clear" w:color="auto" w:fill="FFFFFF"/>
        <w:spacing w:line="396" w:lineRule="atLeast"/>
        <w:rPr>
          <w:rFonts w:ascii="Arial" w:eastAsia="Times New Roman" w:hAnsi="Arial" w:cs="Arial"/>
          <w:color w:val="333333"/>
          <w:sz w:val="22"/>
          <w:szCs w:val="22"/>
          <w:lang w:val="en" w:eastAsia="en-GB"/>
        </w:rPr>
      </w:pPr>
      <w:r w:rsidRPr="00732A4D">
        <w:rPr>
          <w:rFonts w:ascii="Arial" w:eastAsia="Times New Roman" w:hAnsi="Arial" w:cs="Arial"/>
          <w:b/>
          <w:bCs/>
          <w:color w:val="444444"/>
          <w:sz w:val="22"/>
          <w:szCs w:val="22"/>
          <w:lang w:val="en" w:eastAsia="en-GB"/>
        </w:rPr>
        <w:t xml:space="preserve">Figure 4: Alternative fuel costs. </w:t>
      </w:r>
    </w:p>
    <w:p w:rsidR="00732A4D" w:rsidRPr="00732A4D" w:rsidRDefault="00732A4D" w:rsidP="00732A4D">
      <w:pPr>
        <w:shd w:val="clear" w:color="auto" w:fill="FFFFFF"/>
        <w:spacing w:line="396" w:lineRule="atLeast"/>
        <w:rPr>
          <w:rFonts w:ascii="Arial" w:eastAsia="Times New Roman" w:hAnsi="Arial" w:cs="Arial"/>
          <w:color w:val="333333"/>
          <w:sz w:val="22"/>
          <w:szCs w:val="22"/>
          <w:lang w:val="en" w:eastAsia="en-GB"/>
        </w:rPr>
      </w:pPr>
      <w:r>
        <w:rPr>
          <w:rFonts w:ascii="Arial" w:eastAsia="Times New Roman" w:hAnsi="Arial" w:cs="Arial"/>
          <w:b/>
          <w:bCs/>
          <w:noProof/>
          <w:color w:val="006699"/>
          <w:sz w:val="22"/>
          <w:szCs w:val="22"/>
          <w:lang w:eastAsia="en-GB"/>
        </w:rPr>
        <w:drawing>
          <wp:inline distT="0" distB="0" distL="0" distR="0">
            <wp:extent cx="4772025" cy="3889200"/>
            <wp:effectExtent l="0" t="0" r="0" b="0"/>
            <wp:docPr id="9" name="Picture 9" descr="Alternative fuel costs.">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Alternative fuel costs.">
                      <a:hlinkClick r:id="rId46"/>
                    </pic:cNvPr>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4772025" cy="3889200"/>
                    </a:xfrm>
                    <a:prstGeom prst="rect">
                      <a:avLst/>
                    </a:prstGeom>
                    <a:noFill/>
                    <a:ln>
                      <a:noFill/>
                    </a:ln>
                  </pic:spPr>
                </pic:pic>
              </a:graphicData>
            </a:graphic>
          </wp:inline>
        </w:drawing>
      </w:r>
    </w:p>
    <w:p w:rsidR="00732A4D" w:rsidRPr="00732A4D" w:rsidRDefault="00732A4D" w:rsidP="00732A4D">
      <w:pPr>
        <w:shd w:val="clear" w:color="auto" w:fill="FFFFFF"/>
        <w:spacing w:after="300" w:line="396" w:lineRule="atLeast"/>
        <w:rPr>
          <w:rFonts w:ascii="Arial" w:eastAsia="Times New Roman" w:hAnsi="Arial" w:cs="Arial"/>
          <w:color w:val="333333"/>
          <w:sz w:val="22"/>
          <w:szCs w:val="22"/>
          <w:lang w:val="en" w:eastAsia="en-GB"/>
        </w:rPr>
      </w:pPr>
      <w:r w:rsidRPr="00732A4D">
        <w:rPr>
          <w:rFonts w:ascii="Arial" w:eastAsia="Times New Roman" w:hAnsi="Arial" w:cs="Arial"/>
          <w:color w:val="333333"/>
          <w:sz w:val="22"/>
          <w:szCs w:val="22"/>
          <w:lang w:val="en" w:eastAsia="en-GB"/>
        </w:rPr>
        <w:lastRenderedPageBreak/>
        <w:t>Estimated costs, achievable within 10–15 years, of alternative liquid fuels produced from coal, biomass, or coal and biomass with a CO</w:t>
      </w:r>
      <w:r w:rsidRPr="00732A4D">
        <w:rPr>
          <w:rFonts w:ascii="Arial" w:eastAsia="Times New Roman" w:hAnsi="Arial" w:cs="Arial"/>
          <w:color w:val="333333"/>
          <w:sz w:val="19"/>
          <w:szCs w:val="19"/>
          <w:vertAlign w:val="subscript"/>
          <w:lang w:val="en" w:eastAsia="en-GB"/>
        </w:rPr>
        <w:t>2</w:t>
      </w:r>
      <w:r w:rsidRPr="00732A4D">
        <w:rPr>
          <w:rFonts w:ascii="Arial" w:eastAsia="Times New Roman" w:hAnsi="Arial" w:cs="Arial"/>
          <w:color w:val="333333"/>
          <w:sz w:val="22"/>
          <w:szCs w:val="22"/>
          <w:lang w:val="en" w:eastAsia="en-GB"/>
        </w:rPr>
        <w:t xml:space="preserve"> price of </w:t>
      </w:r>
      <w:r w:rsidRPr="00732A4D">
        <w:rPr>
          <w:rFonts w:ascii="Arial Unicode MS" w:eastAsia="Arial Unicode MS" w:hAnsi="Arial Unicode MS" w:cs="Arial Unicode MS"/>
          <w:color w:val="333333"/>
          <w:sz w:val="22"/>
          <w:szCs w:val="22"/>
          <w:lang w:val="en" w:eastAsia="en-GB"/>
        </w:rPr>
        <w:t>$</w:t>
      </w:r>
      <w:r w:rsidRPr="00732A4D">
        <w:rPr>
          <w:rFonts w:ascii="Arial" w:eastAsia="Times New Roman" w:hAnsi="Arial" w:cs="Arial"/>
          <w:color w:val="333333"/>
          <w:sz w:val="22"/>
          <w:szCs w:val="22"/>
          <w:lang w:val="en" w:eastAsia="en-GB"/>
        </w:rPr>
        <w:t xml:space="preserve">50 per </w:t>
      </w:r>
      <w:proofErr w:type="spellStart"/>
      <w:r w:rsidRPr="00732A4D">
        <w:rPr>
          <w:rFonts w:ascii="Arial" w:eastAsia="Times New Roman" w:hAnsi="Arial" w:cs="Arial"/>
          <w:color w:val="333333"/>
          <w:sz w:val="22"/>
          <w:szCs w:val="22"/>
          <w:lang w:val="en" w:eastAsia="en-GB"/>
        </w:rPr>
        <w:t>tonne</w:t>
      </w:r>
      <w:proofErr w:type="spellEnd"/>
      <w:r w:rsidRPr="00732A4D">
        <w:rPr>
          <w:rFonts w:ascii="Arial" w:eastAsia="Times New Roman" w:hAnsi="Arial" w:cs="Arial"/>
          <w:color w:val="333333"/>
          <w:sz w:val="22"/>
          <w:szCs w:val="22"/>
          <w:lang w:val="en" w:eastAsia="en-GB"/>
        </w:rPr>
        <w:t xml:space="preserve"> and capital costs are 20</w:t>
      </w:r>
      <w:r w:rsidRPr="00732A4D">
        <w:rPr>
          <w:rFonts w:ascii="Arial Unicode MS" w:eastAsia="Arial Unicode MS" w:hAnsi="Arial Unicode MS" w:cs="Arial Unicode MS"/>
          <w:color w:val="333333"/>
          <w:sz w:val="22"/>
          <w:szCs w:val="22"/>
          <w:lang w:val="en" w:eastAsia="en-GB"/>
        </w:rPr>
        <w:t>%</w:t>
      </w:r>
      <w:r w:rsidRPr="00732A4D">
        <w:rPr>
          <w:rFonts w:ascii="Arial" w:eastAsia="Times New Roman" w:hAnsi="Arial" w:cs="Arial"/>
          <w:color w:val="333333"/>
          <w:sz w:val="22"/>
          <w:szCs w:val="22"/>
          <w:lang w:val="en" w:eastAsia="en-GB"/>
        </w:rPr>
        <w:t xml:space="preserve"> lower than the America's Energy Future panel's estimates. BTL, biomass-to-liquid fuel; CBFT, coal-and-biomass-to-liquid fuel, Fischer–</w:t>
      </w:r>
      <w:proofErr w:type="spellStart"/>
      <w:r w:rsidRPr="00732A4D">
        <w:rPr>
          <w:rFonts w:ascii="Arial" w:eastAsia="Times New Roman" w:hAnsi="Arial" w:cs="Arial"/>
          <w:color w:val="333333"/>
          <w:sz w:val="22"/>
          <w:szCs w:val="22"/>
          <w:lang w:val="en" w:eastAsia="en-GB"/>
        </w:rPr>
        <w:t>Tropsch</w:t>
      </w:r>
      <w:proofErr w:type="spellEnd"/>
      <w:r w:rsidRPr="00732A4D">
        <w:rPr>
          <w:rFonts w:ascii="Arial" w:eastAsia="Times New Roman" w:hAnsi="Arial" w:cs="Arial"/>
          <w:color w:val="333333"/>
          <w:sz w:val="22"/>
          <w:szCs w:val="22"/>
          <w:lang w:val="en" w:eastAsia="en-GB"/>
        </w:rPr>
        <w:t>; CBMTG, coal-and-biomass-to-liquid fuel, methanol-to-gasoline; CCS, carbon capture and storage; CFT, coal-to-liquid fuel, Fischer–</w:t>
      </w:r>
      <w:proofErr w:type="spellStart"/>
      <w:r w:rsidRPr="00732A4D">
        <w:rPr>
          <w:rFonts w:ascii="Arial" w:eastAsia="Times New Roman" w:hAnsi="Arial" w:cs="Arial"/>
          <w:color w:val="333333"/>
          <w:sz w:val="22"/>
          <w:szCs w:val="22"/>
          <w:lang w:val="en" w:eastAsia="en-GB"/>
        </w:rPr>
        <w:t>Tropsch</w:t>
      </w:r>
      <w:proofErr w:type="spellEnd"/>
      <w:r w:rsidRPr="00732A4D">
        <w:rPr>
          <w:rFonts w:ascii="Arial" w:eastAsia="Times New Roman" w:hAnsi="Arial" w:cs="Arial"/>
          <w:color w:val="333333"/>
          <w:sz w:val="22"/>
          <w:szCs w:val="22"/>
          <w:lang w:val="en" w:eastAsia="en-GB"/>
        </w:rPr>
        <w:t>; CMTG, coal-to-liquid fuel, methanol-to-gasoline..</w:t>
      </w:r>
    </w:p>
    <w:p w:rsidR="00732A4D" w:rsidRPr="00732A4D" w:rsidRDefault="00732A4D" w:rsidP="00732A4D">
      <w:pPr>
        <w:shd w:val="clear" w:color="auto" w:fill="FFFFFF"/>
        <w:spacing w:after="300" w:line="396" w:lineRule="atLeast"/>
        <w:rPr>
          <w:rFonts w:ascii="Arial" w:eastAsia="Times New Roman" w:hAnsi="Arial" w:cs="Arial"/>
          <w:color w:val="333333"/>
          <w:sz w:val="22"/>
          <w:szCs w:val="22"/>
          <w:lang w:val="en" w:eastAsia="en-GB"/>
        </w:rPr>
      </w:pPr>
      <w:r w:rsidRPr="00732A4D">
        <w:rPr>
          <w:rFonts w:ascii="Arial" w:eastAsia="Times New Roman" w:hAnsi="Arial" w:cs="Arial"/>
          <w:color w:val="333333"/>
          <w:sz w:val="22"/>
          <w:szCs w:val="22"/>
          <w:lang w:val="en" w:eastAsia="en-GB"/>
        </w:rPr>
        <w:t xml:space="preserve">The production of ethanol by domesticated yeast for fermentation is perhaps 4,000 years old. </w:t>
      </w:r>
      <w:proofErr w:type="gramStart"/>
      <w:r w:rsidRPr="00732A4D">
        <w:rPr>
          <w:rFonts w:ascii="Arial" w:eastAsia="Times New Roman" w:hAnsi="Arial" w:cs="Arial"/>
          <w:color w:val="333333"/>
          <w:sz w:val="22"/>
          <w:szCs w:val="22"/>
          <w:lang w:val="en" w:eastAsia="en-GB"/>
        </w:rPr>
        <w:t xml:space="preserve">In this Insight, </w:t>
      </w:r>
      <w:proofErr w:type="spellStart"/>
      <w:r w:rsidRPr="00732A4D">
        <w:rPr>
          <w:rFonts w:ascii="Arial" w:eastAsia="Times New Roman" w:hAnsi="Arial" w:cs="Arial"/>
          <w:color w:val="333333"/>
          <w:sz w:val="22"/>
          <w:szCs w:val="22"/>
          <w:lang w:val="en" w:eastAsia="en-GB"/>
        </w:rPr>
        <w:t>Paralta-Yahya</w:t>
      </w:r>
      <w:proofErr w:type="spellEnd"/>
      <w:r w:rsidRPr="00732A4D">
        <w:rPr>
          <w:rFonts w:ascii="Arial" w:eastAsia="Times New Roman" w:hAnsi="Arial" w:cs="Arial"/>
          <w:color w:val="333333"/>
          <w:sz w:val="22"/>
          <w:szCs w:val="22"/>
          <w:lang w:val="en" w:eastAsia="en-GB"/>
        </w:rPr>
        <w:t xml:space="preserve"> </w:t>
      </w:r>
      <w:r w:rsidRPr="00732A4D">
        <w:rPr>
          <w:rFonts w:ascii="Arial" w:eastAsia="Times New Roman" w:hAnsi="Arial" w:cs="Arial"/>
          <w:i/>
          <w:iCs/>
          <w:color w:val="333333"/>
          <w:sz w:val="22"/>
          <w:szCs w:val="22"/>
          <w:lang w:val="en" w:eastAsia="en-GB"/>
        </w:rPr>
        <w:t>et al</w:t>
      </w:r>
      <w:r w:rsidRPr="00732A4D">
        <w:rPr>
          <w:rFonts w:ascii="Arial" w:eastAsia="Times New Roman" w:hAnsi="Arial" w:cs="Arial"/>
          <w:color w:val="333333"/>
          <w:sz w:val="22"/>
          <w:szCs w:val="22"/>
          <w:lang w:val="en" w:eastAsia="en-GB"/>
        </w:rPr>
        <w:t>.</w:t>
      </w:r>
      <w:proofErr w:type="gramEnd"/>
      <w:r w:rsidRPr="00732A4D">
        <w:rPr>
          <w:rFonts w:ascii="Arial" w:eastAsia="Times New Roman" w:hAnsi="Arial" w:cs="Arial"/>
          <w:color w:val="333333"/>
          <w:sz w:val="19"/>
          <w:szCs w:val="19"/>
          <w:vertAlign w:val="superscript"/>
          <w:lang w:val="en" w:eastAsia="en-GB"/>
        </w:rPr>
        <w:fldChar w:fldCharType="begin"/>
      </w:r>
      <w:r w:rsidRPr="00732A4D">
        <w:rPr>
          <w:rFonts w:ascii="Arial" w:eastAsia="Times New Roman" w:hAnsi="Arial" w:cs="Arial"/>
          <w:color w:val="333333"/>
          <w:sz w:val="19"/>
          <w:szCs w:val="19"/>
          <w:vertAlign w:val="superscript"/>
          <w:lang w:val="en" w:eastAsia="en-GB"/>
        </w:rPr>
        <w:instrText xml:space="preserve"> HYPERLINK "http://www.nature.com.libezproxy.open.ac.uk/nature/journal/v488/n7411/full/nature11475.html" \l "ref33" \o "Peralta-Yahya, P. P., Zhang, F., del Cardayre, S. B. &amp; Keasling, J. D. Progress in the microbial production of advanced biofuels: from feedstocks to fuels. Nature 488, 320-328 (2012)." </w:instrText>
      </w:r>
      <w:r w:rsidRPr="00732A4D">
        <w:rPr>
          <w:rFonts w:ascii="Arial" w:eastAsia="Times New Roman" w:hAnsi="Arial" w:cs="Arial"/>
          <w:color w:val="333333"/>
          <w:sz w:val="19"/>
          <w:szCs w:val="19"/>
          <w:vertAlign w:val="superscript"/>
          <w:lang w:val="en" w:eastAsia="en-GB"/>
        </w:rPr>
        <w:fldChar w:fldCharType="separate"/>
      </w:r>
      <w:r w:rsidRPr="00732A4D">
        <w:rPr>
          <w:rFonts w:ascii="Arial" w:eastAsia="Times New Roman" w:hAnsi="Arial" w:cs="Arial"/>
          <w:b/>
          <w:bCs/>
          <w:color w:val="006699"/>
          <w:sz w:val="19"/>
          <w:szCs w:val="19"/>
          <w:vertAlign w:val="superscript"/>
          <w:lang w:val="en" w:eastAsia="en-GB"/>
        </w:rPr>
        <w:t>33</w:t>
      </w:r>
      <w:r w:rsidRPr="00732A4D">
        <w:rPr>
          <w:rFonts w:ascii="Arial" w:eastAsia="Times New Roman" w:hAnsi="Arial" w:cs="Arial"/>
          <w:color w:val="333333"/>
          <w:sz w:val="19"/>
          <w:szCs w:val="19"/>
          <w:vertAlign w:val="superscript"/>
          <w:lang w:val="en" w:eastAsia="en-GB"/>
        </w:rPr>
        <w:fldChar w:fldCharType="end"/>
      </w:r>
      <w:r w:rsidRPr="00732A4D">
        <w:rPr>
          <w:rFonts w:ascii="Arial" w:eastAsia="Times New Roman" w:hAnsi="Arial" w:cs="Arial"/>
          <w:color w:val="333333"/>
          <w:sz w:val="22"/>
          <w:szCs w:val="22"/>
          <w:lang w:val="en" w:eastAsia="en-GB"/>
        </w:rPr>
        <w:t xml:space="preserve"> review the application of metabolic engineering and synthetic biology to alter microbes for the production of advanced biofuels, and of precursors to drop-in substitutes for petrol, diesel and jet fuels. Static adjustment of transcription, translation and post-translational modifications does not allow engineered organisms to respond to changing bioreactor conditions and cellular changes. Remarkably, dynamic sensing and regulation of fatty-acid ethyl ester (FAEE) intermediates in </w:t>
      </w:r>
      <w:r w:rsidRPr="00732A4D">
        <w:rPr>
          <w:rFonts w:ascii="Arial" w:eastAsia="Times New Roman" w:hAnsi="Arial" w:cs="Arial"/>
          <w:i/>
          <w:iCs/>
          <w:color w:val="333333"/>
          <w:sz w:val="22"/>
          <w:szCs w:val="22"/>
          <w:lang w:val="en" w:eastAsia="en-GB"/>
        </w:rPr>
        <w:t>Escherichia coli</w:t>
      </w:r>
      <w:r w:rsidRPr="00732A4D">
        <w:rPr>
          <w:rFonts w:ascii="Arial" w:eastAsia="Times New Roman" w:hAnsi="Arial" w:cs="Arial"/>
          <w:color w:val="333333"/>
          <w:sz w:val="22"/>
          <w:szCs w:val="22"/>
          <w:lang w:val="en" w:eastAsia="en-GB"/>
        </w:rPr>
        <w:t xml:space="preserve"> has been shown to increase FAEE yield by threefold, to reduce the cellular concentration of toxic intermediates and to significantly improve the genetic stability of producing strains.</w:t>
      </w:r>
    </w:p>
    <w:p w:rsidR="00732A4D" w:rsidRPr="00732A4D" w:rsidRDefault="00732A4D" w:rsidP="00732A4D">
      <w:pPr>
        <w:shd w:val="clear" w:color="auto" w:fill="FFFFFF"/>
        <w:spacing w:after="300" w:line="396" w:lineRule="atLeast"/>
        <w:rPr>
          <w:rFonts w:ascii="Arial" w:eastAsia="Times New Roman" w:hAnsi="Arial" w:cs="Arial"/>
          <w:color w:val="333333"/>
          <w:sz w:val="22"/>
          <w:szCs w:val="22"/>
          <w:lang w:val="en" w:eastAsia="en-GB"/>
        </w:rPr>
      </w:pPr>
      <w:r w:rsidRPr="00732A4D">
        <w:rPr>
          <w:rFonts w:ascii="Arial" w:eastAsia="Times New Roman" w:hAnsi="Arial" w:cs="Arial"/>
          <w:color w:val="333333"/>
          <w:sz w:val="22"/>
          <w:szCs w:val="22"/>
          <w:lang w:val="en" w:eastAsia="en-GB"/>
        </w:rPr>
        <w:t xml:space="preserve">Successful commercial-scale deployment of this class of technologies will depend on microbial productivity and robustness. The cost of microbial feedstock is also a major factor: production of advanced fuels from simple sugars and starches is further along in the development of these fuels, but it is held back by high feedstock prices. Lignocelluloses, including agricultural and wood-waste streams, are roughly an order of magnitude less costly, and are generally viewed as the end-goal feedstock. Much attention is now </w:t>
      </w:r>
      <w:proofErr w:type="spellStart"/>
      <w:r w:rsidRPr="00732A4D">
        <w:rPr>
          <w:rFonts w:ascii="Arial" w:eastAsia="Times New Roman" w:hAnsi="Arial" w:cs="Arial"/>
          <w:color w:val="333333"/>
          <w:sz w:val="22"/>
          <w:szCs w:val="22"/>
          <w:lang w:val="en" w:eastAsia="en-GB"/>
        </w:rPr>
        <w:t>focussed</w:t>
      </w:r>
      <w:proofErr w:type="spellEnd"/>
      <w:r w:rsidRPr="00732A4D">
        <w:rPr>
          <w:rFonts w:ascii="Arial" w:eastAsia="Times New Roman" w:hAnsi="Arial" w:cs="Arial"/>
          <w:color w:val="333333"/>
          <w:sz w:val="22"/>
          <w:szCs w:val="22"/>
          <w:lang w:val="en" w:eastAsia="en-GB"/>
        </w:rPr>
        <w:t xml:space="preserve"> on reducing the cost of converting lignocelluloses into forms that are more readily used by microbial organisms.</w:t>
      </w:r>
    </w:p>
    <w:p w:rsidR="00732A4D" w:rsidRPr="00732A4D" w:rsidRDefault="00732A4D" w:rsidP="00732A4D">
      <w:pPr>
        <w:shd w:val="clear" w:color="auto" w:fill="FFFFFF"/>
        <w:spacing w:after="300" w:line="396" w:lineRule="atLeast"/>
        <w:rPr>
          <w:rFonts w:ascii="Arial" w:eastAsia="Times New Roman" w:hAnsi="Arial" w:cs="Arial"/>
          <w:color w:val="333333"/>
          <w:sz w:val="22"/>
          <w:szCs w:val="22"/>
          <w:lang w:val="en" w:eastAsia="en-GB"/>
        </w:rPr>
      </w:pPr>
      <w:r w:rsidRPr="00732A4D">
        <w:rPr>
          <w:rFonts w:ascii="Arial" w:eastAsia="Times New Roman" w:hAnsi="Arial" w:cs="Arial"/>
          <w:color w:val="333333"/>
          <w:sz w:val="22"/>
          <w:szCs w:val="22"/>
          <w:lang w:val="en" w:eastAsia="en-GB"/>
        </w:rPr>
        <w:t xml:space="preserve">The net energy yield per hectare per year is a major factor in determining feedstock cost. The overall yield for biofuels varies widely: Brazilian sugarcane can produce as much as 800 gallons per acre-year, which is about twice as high as productivities based on North American maize. High-yield grasses or fast-growing trees that could be </w:t>
      </w:r>
      <w:proofErr w:type="spellStart"/>
      <w:r w:rsidRPr="00732A4D">
        <w:rPr>
          <w:rFonts w:ascii="Arial" w:eastAsia="Times New Roman" w:hAnsi="Arial" w:cs="Arial"/>
          <w:color w:val="333333"/>
          <w:sz w:val="22"/>
          <w:szCs w:val="22"/>
          <w:lang w:val="en" w:eastAsia="en-GB"/>
        </w:rPr>
        <w:t>feedstocks</w:t>
      </w:r>
      <w:proofErr w:type="spellEnd"/>
      <w:r w:rsidRPr="00732A4D">
        <w:rPr>
          <w:rFonts w:ascii="Arial" w:eastAsia="Times New Roman" w:hAnsi="Arial" w:cs="Arial"/>
          <w:color w:val="333333"/>
          <w:sz w:val="22"/>
          <w:szCs w:val="22"/>
          <w:lang w:val="en" w:eastAsia="en-GB"/>
        </w:rPr>
        <w:t xml:space="preserve"> for advanced biofuels have the potential to surpass sugarcane productivities by 1.3 times or more</w:t>
      </w:r>
      <w:hyperlink r:id="rId48" w:anchor="ref34" w:tooltip="Worldwatch Institute. Biofuels for Transport (Routledge, 2007)." w:history="1">
        <w:r w:rsidRPr="00732A4D">
          <w:rPr>
            <w:rFonts w:ascii="Arial" w:eastAsia="Times New Roman" w:hAnsi="Arial" w:cs="Arial"/>
            <w:b/>
            <w:bCs/>
            <w:color w:val="006699"/>
            <w:sz w:val="19"/>
            <w:szCs w:val="19"/>
            <w:vertAlign w:val="superscript"/>
            <w:lang w:val="en" w:eastAsia="en-GB"/>
          </w:rPr>
          <w:t>34</w:t>
        </w:r>
      </w:hyperlink>
      <w:r w:rsidRPr="00732A4D">
        <w:rPr>
          <w:rFonts w:ascii="Arial" w:eastAsia="Times New Roman" w:hAnsi="Arial" w:cs="Arial"/>
          <w:color w:val="333333"/>
          <w:sz w:val="22"/>
          <w:szCs w:val="22"/>
          <w:lang w:val="en" w:eastAsia="en-GB"/>
        </w:rPr>
        <w:t xml:space="preserve">. Most </w:t>
      </w:r>
      <w:proofErr w:type="spellStart"/>
      <w:r w:rsidRPr="00732A4D">
        <w:rPr>
          <w:rFonts w:ascii="Arial" w:eastAsia="Times New Roman" w:hAnsi="Arial" w:cs="Arial"/>
          <w:color w:val="333333"/>
          <w:sz w:val="22"/>
          <w:szCs w:val="22"/>
          <w:lang w:val="en" w:eastAsia="en-GB"/>
        </w:rPr>
        <w:t>lignocellulosic</w:t>
      </w:r>
      <w:proofErr w:type="spellEnd"/>
      <w:r w:rsidRPr="00732A4D">
        <w:rPr>
          <w:rFonts w:ascii="Arial" w:eastAsia="Times New Roman" w:hAnsi="Arial" w:cs="Arial"/>
          <w:color w:val="333333"/>
          <w:sz w:val="22"/>
          <w:szCs w:val="22"/>
          <w:lang w:val="en" w:eastAsia="en-GB"/>
        </w:rPr>
        <w:t xml:space="preserve"> </w:t>
      </w:r>
      <w:proofErr w:type="spellStart"/>
      <w:r w:rsidRPr="00732A4D">
        <w:rPr>
          <w:rFonts w:ascii="Arial" w:eastAsia="Times New Roman" w:hAnsi="Arial" w:cs="Arial"/>
          <w:color w:val="333333"/>
          <w:sz w:val="22"/>
          <w:szCs w:val="22"/>
          <w:lang w:val="en" w:eastAsia="en-GB"/>
        </w:rPr>
        <w:t>feedstocks</w:t>
      </w:r>
      <w:proofErr w:type="spellEnd"/>
      <w:r w:rsidRPr="00732A4D">
        <w:rPr>
          <w:rFonts w:ascii="Arial" w:eastAsia="Times New Roman" w:hAnsi="Arial" w:cs="Arial"/>
          <w:color w:val="333333"/>
          <w:sz w:val="22"/>
          <w:szCs w:val="22"/>
          <w:lang w:val="en" w:eastAsia="en-GB"/>
        </w:rPr>
        <w:t xml:space="preserve"> have low-volume energy density: relative to fossil fuels they are 'light and fluffy'. To improve </w:t>
      </w:r>
      <w:r w:rsidRPr="00732A4D">
        <w:rPr>
          <w:rFonts w:ascii="Arial" w:eastAsia="Times New Roman" w:hAnsi="Arial" w:cs="Arial"/>
          <w:color w:val="333333"/>
          <w:sz w:val="22"/>
          <w:szCs w:val="22"/>
          <w:lang w:val="en" w:eastAsia="en-GB"/>
        </w:rPr>
        <w:lastRenderedPageBreak/>
        <w:t xml:space="preserve">the economies of scale of </w:t>
      </w:r>
      <w:proofErr w:type="spellStart"/>
      <w:r w:rsidRPr="00732A4D">
        <w:rPr>
          <w:rFonts w:ascii="Arial" w:eastAsia="Times New Roman" w:hAnsi="Arial" w:cs="Arial"/>
          <w:color w:val="333333"/>
          <w:sz w:val="22"/>
          <w:szCs w:val="22"/>
          <w:lang w:val="en" w:eastAsia="en-GB"/>
        </w:rPr>
        <w:t>biorefineries</w:t>
      </w:r>
      <w:proofErr w:type="spellEnd"/>
      <w:r w:rsidRPr="00732A4D">
        <w:rPr>
          <w:rFonts w:ascii="Arial" w:eastAsia="Times New Roman" w:hAnsi="Arial" w:cs="Arial"/>
          <w:color w:val="333333"/>
          <w:sz w:val="22"/>
          <w:szCs w:val="22"/>
          <w:lang w:val="en" w:eastAsia="en-GB"/>
        </w:rPr>
        <w:t xml:space="preserve">, especially thermochemical refineries, increasing the feedstock collection radius is desirable. Biofuels could become more competitive if a means of efficiently concentrating the biomass during the harvesting process (such as combining the reaping and pelleting the woody materials) could be developed. The same densification of the feedstock could also lead to the biofuel equivalent of grain elevators. Reducing 'first touch' costs are an integral part of efficient agricultural practice, and progress in this area would significantly lower the overall feedstock cost delivered to </w:t>
      </w:r>
      <w:proofErr w:type="spellStart"/>
      <w:r w:rsidRPr="00732A4D">
        <w:rPr>
          <w:rFonts w:ascii="Arial" w:eastAsia="Times New Roman" w:hAnsi="Arial" w:cs="Arial"/>
          <w:color w:val="333333"/>
          <w:sz w:val="22"/>
          <w:szCs w:val="22"/>
          <w:lang w:val="en" w:eastAsia="en-GB"/>
        </w:rPr>
        <w:t>biorefineries</w:t>
      </w:r>
      <w:proofErr w:type="spellEnd"/>
      <w:r w:rsidRPr="00732A4D">
        <w:rPr>
          <w:rFonts w:ascii="Arial" w:eastAsia="Times New Roman" w:hAnsi="Arial" w:cs="Arial"/>
          <w:color w:val="333333"/>
          <w:sz w:val="22"/>
          <w:szCs w:val="22"/>
          <w:lang w:val="en" w:eastAsia="en-GB"/>
        </w:rPr>
        <w:t>.</w:t>
      </w:r>
    </w:p>
    <w:p w:rsidR="00732A4D" w:rsidRPr="00732A4D" w:rsidRDefault="00732A4D" w:rsidP="00732A4D">
      <w:pPr>
        <w:shd w:val="clear" w:color="auto" w:fill="FFFFFF"/>
        <w:spacing w:after="300" w:line="396" w:lineRule="atLeast"/>
        <w:rPr>
          <w:rFonts w:ascii="Arial" w:eastAsia="Times New Roman" w:hAnsi="Arial" w:cs="Arial"/>
          <w:color w:val="333333"/>
          <w:sz w:val="22"/>
          <w:szCs w:val="22"/>
          <w:lang w:val="en" w:eastAsia="en-GB"/>
        </w:rPr>
      </w:pPr>
      <w:r w:rsidRPr="00732A4D">
        <w:rPr>
          <w:rFonts w:ascii="Arial" w:eastAsia="Times New Roman" w:hAnsi="Arial" w:cs="Arial"/>
          <w:color w:val="333333"/>
          <w:sz w:val="22"/>
          <w:szCs w:val="22"/>
          <w:lang w:val="en" w:eastAsia="en-GB"/>
        </w:rPr>
        <w:t xml:space="preserve">In this Insight, </w:t>
      </w:r>
      <w:proofErr w:type="spellStart"/>
      <w:r w:rsidRPr="00732A4D">
        <w:rPr>
          <w:rFonts w:ascii="Arial" w:eastAsia="Times New Roman" w:hAnsi="Arial" w:cs="Arial"/>
          <w:color w:val="333333"/>
          <w:sz w:val="22"/>
          <w:szCs w:val="22"/>
          <w:lang w:val="en" w:eastAsia="en-GB"/>
        </w:rPr>
        <w:t>Georgianna</w:t>
      </w:r>
      <w:proofErr w:type="spellEnd"/>
      <w:r w:rsidRPr="00732A4D">
        <w:rPr>
          <w:rFonts w:ascii="Arial" w:eastAsia="Times New Roman" w:hAnsi="Arial" w:cs="Arial"/>
          <w:color w:val="333333"/>
          <w:sz w:val="22"/>
          <w:szCs w:val="22"/>
          <w:lang w:val="en" w:eastAsia="en-GB"/>
        </w:rPr>
        <w:t xml:space="preserve"> and Mayfield</w:t>
      </w:r>
      <w:hyperlink r:id="rId49" w:anchor="ref35" w:tooltip="Georgianna, D. R. &amp; Mayfield, S. P. Exploiting diversity and synthetic biology for the production algae biofuels, Nature 488, 329-335 (2012)." w:history="1">
        <w:r w:rsidRPr="00732A4D">
          <w:rPr>
            <w:rFonts w:ascii="Arial" w:eastAsia="Times New Roman" w:hAnsi="Arial" w:cs="Arial"/>
            <w:b/>
            <w:bCs/>
            <w:color w:val="006699"/>
            <w:sz w:val="19"/>
            <w:szCs w:val="19"/>
            <w:vertAlign w:val="superscript"/>
            <w:lang w:val="en" w:eastAsia="en-GB"/>
          </w:rPr>
          <w:t>35</w:t>
        </w:r>
      </w:hyperlink>
      <w:r w:rsidRPr="00732A4D">
        <w:rPr>
          <w:rFonts w:ascii="Arial" w:eastAsia="Times New Roman" w:hAnsi="Arial" w:cs="Arial"/>
          <w:color w:val="333333"/>
          <w:sz w:val="22"/>
          <w:szCs w:val="22"/>
          <w:lang w:val="en" w:eastAsia="en-GB"/>
        </w:rPr>
        <w:t xml:space="preserve"> discuss the use of algae to produce next generation biofuels. Algae can provide high fuel yields, especially if areal sunlight collection can be used to drive volumetric growth of algae. However, algal growth in closed systems requires very high capital investments relative to energy crops such as grasses or trees. In open-pond systems, water use is a major issue but may be partially ameliorated through the use of species that can grow in brackish or salt water.</w:t>
      </w:r>
    </w:p>
    <w:p w:rsidR="00732A4D" w:rsidRPr="00732A4D" w:rsidRDefault="00732A4D" w:rsidP="00732A4D">
      <w:pPr>
        <w:shd w:val="clear" w:color="auto" w:fill="FFFFFF"/>
        <w:spacing w:after="300" w:line="396" w:lineRule="atLeast"/>
        <w:rPr>
          <w:rFonts w:ascii="Arial" w:eastAsia="Times New Roman" w:hAnsi="Arial" w:cs="Arial"/>
          <w:color w:val="333333"/>
          <w:sz w:val="22"/>
          <w:szCs w:val="22"/>
          <w:lang w:val="en" w:eastAsia="en-GB"/>
        </w:rPr>
      </w:pPr>
      <w:r w:rsidRPr="00732A4D">
        <w:rPr>
          <w:rFonts w:ascii="Arial" w:eastAsia="Times New Roman" w:hAnsi="Arial" w:cs="Arial"/>
          <w:color w:val="333333"/>
          <w:sz w:val="22"/>
          <w:szCs w:val="22"/>
          <w:lang w:val="en" w:eastAsia="en-GB"/>
        </w:rPr>
        <w:t xml:space="preserve">Other approaches to bio-based fuel production include the manipulation of photosynthetic bacteria to produce biofuels, diverting high-energy Calvin-cycle intermediates upstream of glucose — for example energy-dense </w:t>
      </w:r>
      <w:proofErr w:type="spellStart"/>
      <w:r w:rsidRPr="00732A4D">
        <w:rPr>
          <w:rFonts w:ascii="Arial" w:eastAsia="Times New Roman" w:hAnsi="Arial" w:cs="Arial"/>
          <w:color w:val="333333"/>
          <w:sz w:val="22"/>
          <w:szCs w:val="22"/>
          <w:lang w:val="en" w:eastAsia="en-GB"/>
        </w:rPr>
        <w:t>terpene</w:t>
      </w:r>
      <w:proofErr w:type="spellEnd"/>
      <w:r w:rsidRPr="00732A4D">
        <w:rPr>
          <w:rFonts w:ascii="Arial" w:eastAsia="Times New Roman" w:hAnsi="Arial" w:cs="Arial"/>
          <w:color w:val="333333"/>
          <w:sz w:val="22"/>
          <w:szCs w:val="22"/>
          <w:lang w:val="en" w:eastAsia="en-GB"/>
        </w:rPr>
        <w:t xml:space="preserve"> (a biofuel precursor) production in trees or microbes — or developing alternatives to C</w:t>
      </w:r>
      <w:r w:rsidRPr="00732A4D">
        <w:rPr>
          <w:rFonts w:ascii="Arial" w:eastAsia="Times New Roman" w:hAnsi="Arial" w:cs="Arial"/>
          <w:color w:val="333333"/>
          <w:sz w:val="19"/>
          <w:szCs w:val="19"/>
          <w:vertAlign w:val="subscript"/>
          <w:lang w:val="en" w:eastAsia="en-GB"/>
        </w:rPr>
        <w:t>3</w:t>
      </w:r>
      <w:r w:rsidRPr="00732A4D">
        <w:rPr>
          <w:rFonts w:ascii="Arial" w:eastAsia="Times New Roman" w:hAnsi="Arial" w:cs="Arial"/>
          <w:color w:val="333333"/>
          <w:sz w:val="22"/>
          <w:szCs w:val="22"/>
          <w:lang w:val="en" w:eastAsia="en-GB"/>
        </w:rPr>
        <w:t xml:space="preserve"> and C</w:t>
      </w:r>
      <w:r w:rsidRPr="00732A4D">
        <w:rPr>
          <w:rFonts w:ascii="Arial" w:eastAsia="Times New Roman" w:hAnsi="Arial" w:cs="Arial"/>
          <w:color w:val="333333"/>
          <w:sz w:val="19"/>
          <w:szCs w:val="19"/>
          <w:vertAlign w:val="subscript"/>
          <w:lang w:val="en" w:eastAsia="en-GB"/>
        </w:rPr>
        <w:t>4</w:t>
      </w:r>
      <w:r w:rsidRPr="00732A4D">
        <w:rPr>
          <w:rFonts w:ascii="Arial" w:eastAsia="Times New Roman" w:hAnsi="Arial" w:cs="Arial"/>
          <w:color w:val="333333"/>
          <w:sz w:val="22"/>
          <w:szCs w:val="22"/>
          <w:lang w:val="en" w:eastAsia="en-GB"/>
        </w:rPr>
        <w:t xml:space="preserve"> carbon fixation.</w:t>
      </w:r>
    </w:p>
    <w:p w:rsidR="00732A4D" w:rsidRPr="00732A4D" w:rsidRDefault="00732A4D" w:rsidP="00732A4D">
      <w:pPr>
        <w:shd w:val="clear" w:color="auto" w:fill="FFFFFF"/>
        <w:spacing w:after="300" w:line="396" w:lineRule="atLeast"/>
        <w:rPr>
          <w:rFonts w:ascii="Arial" w:eastAsia="Times New Roman" w:hAnsi="Arial" w:cs="Arial"/>
          <w:color w:val="333333"/>
          <w:sz w:val="22"/>
          <w:szCs w:val="22"/>
          <w:lang w:val="en" w:eastAsia="en-GB"/>
        </w:rPr>
      </w:pPr>
      <w:r w:rsidRPr="00732A4D">
        <w:rPr>
          <w:rFonts w:ascii="Arial" w:eastAsia="Times New Roman" w:hAnsi="Arial" w:cs="Arial"/>
          <w:color w:val="333333"/>
          <w:sz w:val="22"/>
          <w:szCs w:val="22"/>
          <w:lang w:val="en" w:eastAsia="en-GB"/>
        </w:rPr>
        <w:t>Biological enzymes can synthesize carbon–carbon bonds with an unparalleled high specificity, but photosynthesis may not be the only approach to converting sunlight into hydrocarbon fuels</w:t>
      </w:r>
      <w:hyperlink r:id="rId50" w:anchor="ref36" w:tooltip="Zhu, X-, G., Long, S. P. &amp; Ort, D. R. What is the maximum efficiency with which photosynthesis can convert solar energy into biomass? Curr. Opin. Biotechnol. 19, 153-159 (2008)." w:history="1">
        <w:r w:rsidRPr="00732A4D">
          <w:rPr>
            <w:rFonts w:ascii="Arial" w:eastAsia="Times New Roman" w:hAnsi="Arial" w:cs="Arial"/>
            <w:b/>
            <w:bCs/>
            <w:color w:val="006699"/>
            <w:sz w:val="19"/>
            <w:szCs w:val="19"/>
            <w:vertAlign w:val="superscript"/>
            <w:lang w:val="en" w:eastAsia="en-GB"/>
          </w:rPr>
          <w:t>36</w:t>
        </w:r>
      </w:hyperlink>
      <w:r w:rsidRPr="00732A4D">
        <w:rPr>
          <w:rFonts w:ascii="Arial" w:eastAsia="Times New Roman" w:hAnsi="Arial" w:cs="Arial"/>
          <w:color w:val="333333"/>
          <w:sz w:val="22"/>
          <w:szCs w:val="22"/>
          <w:lang w:val="en" w:eastAsia="en-GB"/>
        </w:rPr>
        <w:t xml:space="preserve">. Several non-photosynthetic alternatives are under investigation that could potentially overcome many of the limitations of photosynthesis. To appreciate the potential of such approaches, the energy conversion process can be divided into three steps. First is to identify what reducing equivalents, other than solar photons captured through photosystems I and </w:t>
      </w:r>
      <w:proofErr w:type="gramStart"/>
      <w:r w:rsidRPr="00732A4D">
        <w:rPr>
          <w:rFonts w:ascii="Arial" w:eastAsia="Times New Roman" w:hAnsi="Arial" w:cs="Arial"/>
          <w:color w:val="333333"/>
          <w:sz w:val="22"/>
          <w:szCs w:val="22"/>
          <w:lang w:val="en" w:eastAsia="en-GB"/>
        </w:rPr>
        <w:t>II,</w:t>
      </w:r>
      <w:proofErr w:type="gramEnd"/>
      <w:r w:rsidRPr="00732A4D">
        <w:rPr>
          <w:rFonts w:ascii="Arial" w:eastAsia="Times New Roman" w:hAnsi="Arial" w:cs="Arial"/>
          <w:color w:val="333333"/>
          <w:sz w:val="22"/>
          <w:szCs w:val="22"/>
          <w:lang w:val="en" w:eastAsia="en-GB"/>
        </w:rPr>
        <w:t xml:space="preserve"> can be accepted by various microorganisms. Several organisms are known to be capable of growth on hydrogen </w:t>
      </w:r>
      <w:proofErr w:type="spellStart"/>
      <w:r w:rsidRPr="00732A4D">
        <w:rPr>
          <w:rFonts w:ascii="Arial" w:eastAsia="Times New Roman" w:hAnsi="Arial" w:cs="Arial"/>
          <w:color w:val="333333"/>
          <w:sz w:val="22"/>
          <w:szCs w:val="22"/>
          <w:lang w:val="en" w:eastAsia="en-GB"/>
        </w:rPr>
        <w:t>sulphide</w:t>
      </w:r>
      <w:proofErr w:type="spellEnd"/>
      <w:r w:rsidRPr="00732A4D">
        <w:rPr>
          <w:rFonts w:ascii="Arial" w:eastAsia="Times New Roman" w:hAnsi="Arial" w:cs="Arial"/>
          <w:color w:val="333333"/>
          <w:sz w:val="22"/>
          <w:szCs w:val="22"/>
          <w:lang w:val="en" w:eastAsia="en-GB"/>
        </w:rPr>
        <w:t xml:space="preserve">, hydrogen, electrons, </w:t>
      </w:r>
      <w:proofErr w:type="gramStart"/>
      <w:r w:rsidRPr="00732A4D">
        <w:rPr>
          <w:rFonts w:ascii="Arial" w:eastAsia="Times New Roman" w:hAnsi="Arial" w:cs="Arial"/>
          <w:color w:val="333333"/>
          <w:sz w:val="22"/>
          <w:szCs w:val="22"/>
          <w:lang w:val="en" w:eastAsia="en-GB"/>
        </w:rPr>
        <w:t>ammonia</w:t>
      </w:r>
      <w:proofErr w:type="gramEnd"/>
      <w:r w:rsidRPr="00732A4D">
        <w:rPr>
          <w:rFonts w:ascii="Arial" w:eastAsia="Times New Roman" w:hAnsi="Arial" w:cs="Arial"/>
          <w:color w:val="333333"/>
          <w:sz w:val="22"/>
          <w:szCs w:val="22"/>
          <w:lang w:val="en" w:eastAsia="en-GB"/>
        </w:rPr>
        <w:t xml:space="preserve"> and reduced ions such as iron (II). Second is to investigate opportunities to fix CO</w:t>
      </w:r>
      <w:r w:rsidRPr="00732A4D">
        <w:rPr>
          <w:rFonts w:ascii="Arial" w:eastAsia="Times New Roman" w:hAnsi="Arial" w:cs="Arial"/>
          <w:color w:val="333333"/>
          <w:sz w:val="19"/>
          <w:szCs w:val="19"/>
          <w:vertAlign w:val="subscript"/>
          <w:lang w:val="en" w:eastAsia="en-GB"/>
        </w:rPr>
        <w:t>2</w:t>
      </w:r>
      <w:r w:rsidRPr="00732A4D">
        <w:rPr>
          <w:rFonts w:ascii="Arial" w:eastAsia="Times New Roman" w:hAnsi="Arial" w:cs="Arial"/>
          <w:color w:val="333333"/>
          <w:sz w:val="22"/>
          <w:szCs w:val="22"/>
          <w:lang w:val="en" w:eastAsia="en-GB"/>
        </w:rPr>
        <w:t xml:space="preserve"> using pathways other than those used in C</w:t>
      </w:r>
      <w:r w:rsidRPr="00732A4D">
        <w:rPr>
          <w:rFonts w:ascii="Arial" w:eastAsia="Times New Roman" w:hAnsi="Arial" w:cs="Arial"/>
          <w:color w:val="333333"/>
          <w:sz w:val="19"/>
          <w:szCs w:val="19"/>
          <w:vertAlign w:val="subscript"/>
          <w:lang w:val="en" w:eastAsia="en-GB"/>
        </w:rPr>
        <w:t>3</w:t>
      </w:r>
      <w:r w:rsidRPr="00732A4D">
        <w:rPr>
          <w:rFonts w:ascii="Arial" w:eastAsia="Times New Roman" w:hAnsi="Arial" w:cs="Arial"/>
          <w:color w:val="333333"/>
          <w:sz w:val="22"/>
          <w:szCs w:val="22"/>
          <w:lang w:val="en" w:eastAsia="en-GB"/>
        </w:rPr>
        <w:t xml:space="preserve"> or C</w:t>
      </w:r>
      <w:r w:rsidRPr="00732A4D">
        <w:rPr>
          <w:rFonts w:ascii="Arial" w:eastAsia="Times New Roman" w:hAnsi="Arial" w:cs="Arial"/>
          <w:color w:val="333333"/>
          <w:sz w:val="19"/>
          <w:szCs w:val="19"/>
          <w:vertAlign w:val="subscript"/>
          <w:lang w:val="en" w:eastAsia="en-GB"/>
        </w:rPr>
        <w:t>4</w:t>
      </w:r>
      <w:r w:rsidRPr="00732A4D">
        <w:rPr>
          <w:rFonts w:ascii="Arial" w:eastAsia="Times New Roman" w:hAnsi="Arial" w:cs="Arial"/>
          <w:color w:val="333333"/>
          <w:sz w:val="22"/>
          <w:szCs w:val="22"/>
          <w:lang w:val="en" w:eastAsia="en-GB"/>
        </w:rPr>
        <w:t xml:space="preserve"> plants. Potential systems may include the reverse </w:t>
      </w:r>
      <w:proofErr w:type="spellStart"/>
      <w:r w:rsidRPr="00732A4D">
        <w:rPr>
          <w:rFonts w:ascii="Arial" w:eastAsia="Times New Roman" w:hAnsi="Arial" w:cs="Arial"/>
          <w:color w:val="333333"/>
          <w:sz w:val="22"/>
          <w:szCs w:val="22"/>
          <w:lang w:val="en" w:eastAsia="en-GB"/>
        </w:rPr>
        <w:t>tricarboxylic</w:t>
      </w:r>
      <w:proofErr w:type="spellEnd"/>
      <w:r w:rsidRPr="00732A4D">
        <w:rPr>
          <w:rFonts w:ascii="Arial" w:eastAsia="Times New Roman" w:hAnsi="Arial" w:cs="Arial"/>
          <w:color w:val="333333"/>
          <w:sz w:val="22"/>
          <w:szCs w:val="22"/>
          <w:lang w:val="en" w:eastAsia="en-GB"/>
        </w:rPr>
        <w:t>-acid cycle (often called the reverse Krebs cycle)</w:t>
      </w:r>
      <w:proofErr w:type="gramStart"/>
      <w:r w:rsidRPr="00732A4D">
        <w:rPr>
          <w:rFonts w:ascii="Arial" w:eastAsia="Times New Roman" w:hAnsi="Arial" w:cs="Arial"/>
          <w:color w:val="333333"/>
          <w:sz w:val="22"/>
          <w:szCs w:val="22"/>
          <w:lang w:val="en" w:eastAsia="en-GB"/>
        </w:rPr>
        <w:t>,</w:t>
      </w:r>
      <w:proofErr w:type="gramEnd"/>
      <w:r w:rsidRPr="00732A4D">
        <w:rPr>
          <w:rFonts w:ascii="Arial" w:eastAsia="Times New Roman" w:hAnsi="Arial" w:cs="Arial"/>
          <w:color w:val="333333"/>
          <w:sz w:val="22"/>
          <w:szCs w:val="22"/>
          <w:lang w:val="en" w:eastAsia="en-GB"/>
        </w:rPr>
        <w:t xml:space="preserve"> the Woods–</w:t>
      </w:r>
      <w:proofErr w:type="spellStart"/>
      <w:r w:rsidRPr="00732A4D">
        <w:rPr>
          <w:rFonts w:ascii="Arial" w:eastAsia="Times New Roman" w:hAnsi="Arial" w:cs="Arial"/>
          <w:color w:val="333333"/>
          <w:sz w:val="22"/>
          <w:szCs w:val="22"/>
          <w:lang w:val="en" w:eastAsia="en-GB"/>
        </w:rPr>
        <w:t>Ljungdahl</w:t>
      </w:r>
      <w:proofErr w:type="spellEnd"/>
      <w:r w:rsidRPr="00732A4D">
        <w:rPr>
          <w:rFonts w:ascii="Arial" w:eastAsia="Times New Roman" w:hAnsi="Arial" w:cs="Arial"/>
          <w:color w:val="333333"/>
          <w:sz w:val="22"/>
          <w:szCs w:val="22"/>
          <w:lang w:val="en" w:eastAsia="en-GB"/>
        </w:rPr>
        <w:t xml:space="preserve"> </w:t>
      </w:r>
      <w:r w:rsidRPr="00732A4D">
        <w:rPr>
          <w:rFonts w:ascii="Arial" w:eastAsia="Times New Roman" w:hAnsi="Arial" w:cs="Arial"/>
          <w:color w:val="333333"/>
          <w:sz w:val="22"/>
          <w:szCs w:val="22"/>
          <w:lang w:val="en" w:eastAsia="en-GB"/>
        </w:rPr>
        <w:lastRenderedPageBreak/>
        <w:t xml:space="preserve">cycle used by </w:t>
      </w:r>
      <w:proofErr w:type="spellStart"/>
      <w:r w:rsidRPr="00732A4D">
        <w:rPr>
          <w:rFonts w:ascii="Arial" w:eastAsia="Times New Roman" w:hAnsi="Arial" w:cs="Arial"/>
          <w:color w:val="333333"/>
          <w:sz w:val="22"/>
          <w:szCs w:val="22"/>
          <w:lang w:val="en" w:eastAsia="en-GB"/>
        </w:rPr>
        <w:t>acetogens</w:t>
      </w:r>
      <w:proofErr w:type="spellEnd"/>
      <w:r w:rsidRPr="00732A4D">
        <w:rPr>
          <w:rFonts w:ascii="Arial" w:eastAsia="Times New Roman" w:hAnsi="Arial" w:cs="Arial"/>
          <w:color w:val="333333"/>
          <w:sz w:val="22"/>
          <w:szCs w:val="22"/>
          <w:lang w:val="en" w:eastAsia="en-GB"/>
        </w:rPr>
        <w:t xml:space="preserve">, the </w:t>
      </w:r>
      <w:proofErr w:type="spellStart"/>
      <w:r w:rsidRPr="00732A4D">
        <w:rPr>
          <w:rFonts w:ascii="Arial" w:eastAsia="Times New Roman" w:hAnsi="Arial" w:cs="Arial"/>
          <w:color w:val="333333"/>
          <w:sz w:val="22"/>
          <w:szCs w:val="22"/>
          <w:lang w:val="en" w:eastAsia="en-GB"/>
        </w:rPr>
        <w:t>hydroxypropionate</w:t>
      </w:r>
      <w:proofErr w:type="spellEnd"/>
      <w:r w:rsidRPr="00732A4D">
        <w:rPr>
          <w:rFonts w:ascii="Arial" w:eastAsia="Times New Roman" w:hAnsi="Arial" w:cs="Arial"/>
          <w:color w:val="333333"/>
          <w:sz w:val="22"/>
          <w:szCs w:val="22"/>
          <w:lang w:val="en" w:eastAsia="en-GB"/>
        </w:rPr>
        <w:t>–</w:t>
      </w:r>
      <w:proofErr w:type="spellStart"/>
      <w:r w:rsidRPr="00732A4D">
        <w:rPr>
          <w:rFonts w:ascii="Arial" w:eastAsia="Times New Roman" w:hAnsi="Arial" w:cs="Arial"/>
          <w:color w:val="333333"/>
          <w:sz w:val="22"/>
          <w:szCs w:val="22"/>
          <w:lang w:val="en" w:eastAsia="en-GB"/>
        </w:rPr>
        <w:t>hydroxybutyrate</w:t>
      </w:r>
      <w:proofErr w:type="spellEnd"/>
      <w:r w:rsidRPr="00732A4D">
        <w:rPr>
          <w:rFonts w:ascii="Arial" w:eastAsia="Times New Roman" w:hAnsi="Arial" w:cs="Arial"/>
          <w:color w:val="333333"/>
          <w:sz w:val="22"/>
          <w:szCs w:val="22"/>
          <w:lang w:val="en" w:eastAsia="en-GB"/>
        </w:rPr>
        <w:t xml:space="preserve"> cycle or newly designed biochemical pathways. The final step is to determine whether we can metabolically engineer direct carbon products into a molecule such as acetyl-CoA, which is a precursor for many energy-dense fuels. These three steps can be engineered into autotrophic organisms, an approach that is now being supported by a US DOE Advanced Research Projects Agency-Energy </w:t>
      </w:r>
      <w:proofErr w:type="spellStart"/>
      <w:r w:rsidRPr="00732A4D">
        <w:rPr>
          <w:rFonts w:ascii="Arial" w:eastAsia="Times New Roman" w:hAnsi="Arial" w:cs="Arial"/>
          <w:color w:val="333333"/>
          <w:sz w:val="22"/>
          <w:szCs w:val="22"/>
          <w:lang w:val="en" w:eastAsia="en-GB"/>
        </w:rPr>
        <w:t>programme</w:t>
      </w:r>
      <w:proofErr w:type="spellEnd"/>
      <w:r w:rsidRPr="00732A4D">
        <w:rPr>
          <w:rFonts w:ascii="Arial" w:eastAsia="Times New Roman" w:hAnsi="Arial" w:cs="Arial"/>
          <w:color w:val="333333"/>
          <w:sz w:val="22"/>
          <w:szCs w:val="22"/>
          <w:lang w:val="en" w:eastAsia="en-GB"/>
        </w:rPr>
        <w:t xml:space="preserve"> called Electrofuels</w:t>
      </w:r>
      <w:hyperlink r:id="rId51" w:anchor="ref37" w:tooltip="Conrado, R. J. et al. in Electrofuels: A new paradigm for renewable fuels. Advanced Biofuels and Bioproducts (Lee, J. ed.) (Springer, 2012)." w:history="1">
        <w:r w:rsidRPr="00732A4D">
          <w:rPr>
            <w:rFonts w:ascii="Arial" w:eastAsia="Times New Roman" w:hAnsi="Arial" w:cs="Arial"/>
            <w:b/>
            <w:bCs/>
            <w:color w:val="006699"/>
            <w:sz w:val="19"/>
            <w:szCs w:val="19"/>
            <w:vertAlign w:val="superscript"/>
            <w:lang w:val="en" w:eastAsia="en-GB"/>
          </w:rPr>
          <w:t>37</w:t>
        </w:r>
      </w:hyperlink>
      <w:r w:rsidRPr="00732A4D">
        <w:rPr>
          <w:rFonts w:ascii="Arial" w:eastAsia="Times New Roman" w:hAnsi="Arial" w:cs="Arial"/>
          <w:color w:val="333333"/>
          <w:sz w:val="22"/>
          <w:szCs w:val="22"/>
          <w:lang w:val="en" w:eastAsia="en-GB"/>
        </w:rPr>
        <w:t>.</w:t>
      </w:r>
    </w:p>
    <w:p w:rsidR="00732A4D" w:rsidRPr="00732A4D" w:rsidRDefault="00732A4D" w:rsidP="00732A4D">
      <w:pPr>
        <w:shd w:val="clear" w:color="auto" w:fill="FFFFFF"/>
        <w:spacing w:after="300" w:line="396" w:lineRule="atLeast"/>
        <w:rPr>
          <w:rFonts w:ascii="Arial" w:eastAsia="Times New Roman" w:hAnsi="Arial" w:cs="Arial"/>
          <w:color w:val="333333"/>
          <w:sz w:val="22"/>
          <w:szCs w:val="22"/>
          <w:lang w:val="en" w:eastAsia="en-GB"/>
        </w:rPr>
      </w:pPr>
      <w:r w:rsidRPr="00732A4D">
        <w:rPr>
          <w:rFonts w:ascii="Arial" w:eastAsia="Times New Roman" w:hAnsi="Arial" w:cs="Arial"/>
          <w:color w:val="333333"/>
          <w:sz w:val="22"/>
          <w:szCs w:val="22"/>
          <w:lang w:val="en" w:eastAsia="en-GB"/>
        </w:rPr>
        <w:t>Finally, researchers are investigating highly efficient non-biological energy-conversion approaches that generate fuel from sunlight by the oxidation of water into hydrogen and oxygen and reduction of CO</w:t>
      </w:r>
      <w:r w:rsidRPr="00732A4D">
        <w:rPr>
          <w:rFonts w:ascii="Arial" w:eastAsia="Times New Roman" w:hAnsi="Arial" w:cs="Arial"/>
          <w:color w:val="333333"/>
          <w:sz w:val="19"/>
          <w:szCs w:val="19"/>
          <w:vertAlign w:val="subscript"/>
          <w:lang w:val="en" w:eastAsia="en-GB"/>
        </w:rPr>
        <w:t>2</w:t>
      </w:r>
      <w:r w:rsidRPr="00732A4D">
        <w:rPr>
          <w:rFonts w:ascii="Arial" w:eastAsia="Times New Roman" w:hAnsi="Arial" w:cs="Arial"/>
          <w:color w:val="333333"/>
          <w:sz w:val="22"/>
          <w:szCs w:val="22"/>
          <w:lang w:val="en" w:eastAsia="en-GB"/>
        </w:rPr>
        <w:t xml:space="preserve"> to fuel. The Joint Center for Artificial Photosynthesis, a US DOE funded Energy Innovation Research Center, was established to identify Earth-abundant, robust light absorbers with optimal </w:t>
      </w:r>
      <w:proofErr w:type="spellStart"/>
      <w:r w:rsidRPr="00732A4D">
        <w:rPr>
          <w:rFonts w:ascii="Arial" w:eastAsia="Times New Roman" w:hAnsi="Arial" w:cs="Arial"/>
          <w:color w:val="333333"/>
          <w:sz w:val="22"/>
          <w:szCs w:val="22"/>
          <w:lang w:val="en" w:eastAsia="en-GB"/>
        </w:rPr>
        <w:t>bandgaps</w:t>
      </w:r>
      <w:proofErr w:type="spellEnd"/>
      <w:r w:rsidRPr="00732A4D">
        <w:rPr>
          <w:rFonts w:ascii="Arial" w:eastAsia="Times New Roman" w:hAnsi="Arial" w:cs="Arial"/>
          <w:color w:val="333333"/>
          <w:sz w:val="22"/>
          <w:szCs w:val="22"/>
          <w:lang w:val="en" w:eastAsia="en-GB"/>
        </w:rPr>
        <w:t xml:space="preserve"> to harvest sunlight most effectively and efficiently, to accelerate the rate of catalyst discovery for solar energy-to-fuel conversion reactions and to provide system integration and scale-up so that laboratory experiments can quickly transition into prototypes for commercial development.</w:t>
      </w:r>
    </w:p>
    <w:p w:rsidR="00BA78A4" w:rsidRDefault="00BA78A4"/>
    <w:sectPr w:rsidR="00BA78A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0E7586"/>
    <w:multiLevelType w:val="multilevel"/>
    <w:tmpl w:val="E54C4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72B2C57"/>
    <w:multiLevelType w:val="multilevel"/>
    <w:tmpl w:val="77F21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35E401E"/>
    <w:multiLevelType w:val="multilevel"/>
    <w:tmpl w:val="FE584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B565926"/>
    <w:multiLevelType w:val="multilevel"/>
    <w:tmpl w:val="B678B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14912EB"/>
    <w:multiLevelType w:val="multilevel"/>
    <w:tmpl w:val="0DE44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B8079F4"/>
    <w:multiLevelType w:val="multilevel"/>
    <w:tmpl w:val="CE40E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1473D12"/>
    <w:multiLevelType w:val="multilevel"/>
    <w:tmpl w:val="55782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5"/>
  </w:num>
  <w:num w:numId="5">
    <w:abstractNumId w:val="4"/>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A4D"/>
    <w:rsid w:val="00732A4D"/>
    <w:rsid w:val="00B2742F"/>
    <w:rsid w:val="00BA78A4"/>
    <w:rsid w:val="00F3105C"/>
    <w:rsid w:val="00FE28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zh-CN"/>
    </w:rPr>
  </w:style>
  <w:style w:type="paragraph" w:styleId="Heading1">
    <w:name w:val="heading 1"/>
    <w:basedOn w:val="Normal"/>
    <w:link w:val="Heading1Char"/>
    <w:uiPriority w:val="9"/>
    <w:qFormat/>
    <w:rsid w:val="00732A4D"/>
    <w:pPr>
      <w:spacing w:after="300"/>
      <w:outlineLvl w:val="0"/>
    </w:pPr>
    <w:rPr>
      <w:rFonts w:eastAsia="Times New Roman"/>
      <w:b/>
      <w:bCs/>
      <w:color w:val="444444"/>
      <w:kern w:val="36"/>
      <w:lang w:eastAsia="en-GB"/>
    </w:rPr>
  </w:style>
  <w:style w:type="paragraph" w:styleId="Heading2">
    <w:name w:val="heading 2"/>
    <w:basedOn w:val="Normal"/>
    <w:link w:val="Heading2Char"/>
    <w:uiPriority w:val="9"/>
    <w:qFormat/>
    <w:rsid w:val="00732A4D"/>
    <w:pPr>
      <w:spacing w:after="300"/>
      <w:outlineLvl w:val="1"/>
    </w:pPr>
    <w:rPr>
      <w:rFonts w:eastAsia="Times New Roman"/>
      <w:b/>
      <w:bCs/>
      <w:color w:val="44444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2A4D"/>
    <w:rPr>
      <w:rFonts w:eastAsia="Times New Roman"/>
      <w:b/>
      <w:bCs/>
      <w:color w:val="444444"/>
      <w:kern w:val="36"/>
      <w:sz w:val="24"/>
      <w:szCs w:val="24"/>
      <w:lang w:eastAsia="en-GB"/>
    </w:rPr>
  </w:style>
  <w:style w:type="character" w:customStyle="1" w:styleId="Heading2Char">
    <w:name w:val="Heading 2 Char"/>
    <w:basedOn w:val="DefaultParagraphFont"/>
    <w:link w:val="Heading2"/>
    <w:uiPriority w:val="9"/>
    <w:rsid w:val="00732A4D"/>
    <w:rPr>
      <w:rFonts w:eastAsia="Times New Roman"/>
      <w:b/>
      <w:bCs/>
      <w:color w:val="444444"/>
      <w:sz w:val="24"/>
      <w:szCs w:val="24"/>
      <w:lang w:eastAsia="en-GB"/>
    </w:rPr>
  </w:style>
  <w:style w:type="character" w:styleId="Hyperlink">
    <w:name w:val="Hyperlink"/>
    <w:basedOn w:val="DefaultParagraphFont"/>
    <w:uiPriority w:val="99"/>
    <w:semiHidden/>
    <w:unhideWhenUsed/>
    <w:rsid w:val="00732A4D"/>
    <w:rPr>
      <w:b/>
      <w:bCs/>
      <w:strike w:val="0"/>
      <w:dstrike w:val="0"/>
      <w:color w:val="006699"/>
      <w:u w:val="none"/>
      <w:effect w:val="none"/>
    </w:rPr>
  </w:style>
  <w:style w:type="paragraph" w:styleId="NormalWeb">
    <w:name w:val="Normal (Web)"/>
    <w:basedOn w:val="Normal"/>
    <w:uiPriority w:val="99"/>
    <w:semiHidden/>
    <w:unhideWhenUsed/>
    <w:rsid w:val="00732A4D"/>
    <w:pPr>
      <w:spacing w:after="300"/>
    </w:pPr>
    <w:rPr>
      <w:rFonts w:eastAsia="Times New Roman"/>
      <w:lang w:eastAsia="en-GB"/>
    </w:rPr>
  </w:style>
  <w:style w:type="character" w:customStyle="1" w:styleId="legend1">
    <w:name w:val="legend1"/>
    <w:basedOn w:val="DefaultParagraphFont"/>
    <w:rsid w:val="00732A4D"/>
    <w:rPr>
      <w:b/>
      <w:bCs/>
      <w:color w:val="444444"/>
    </w:rPr>
  </w:style>
  <w:style w:type="character" w:customStyle="1" w:styleId="bullet">
    <w:name w:val="bullet"/>
    <w:basedOn w:val="DefaultParagraphFont"/>
    <w:rsid w:val="00732A4D"/>
  </w:style>
  <w:style w:type="character" w:customStyle="1" w:styleId="mb">
    <w:name w:val="mb"/>
    <w:basedOn w:val="DefaultParagraphFont"/>
    <w:rsid w:val="00732A4D"/>
    <w:rPr>
      <w:rFonts w:ascii="Arial Unicode MS" w:eastAsia="Arial Unicode MS" w:hAnsi="Arial Unicode MS" w:cs="Arial Unicode MS" w:hint="eastAsia"/>
      <w:vanish w:val="0"/>
      <w:webHidden w:val="0"/>
      <w:shd w:val="clear" w:color="auto" w:fill="auto"/>
      <w:specVanish w:val="0"/>
    </w:rPr>
  </w:style>
  <w:style w:type="paragraph" w:styleId="BalloonText">
    <w:name w:val="Balloon Text"/>
    <w:basedOn w:val="Normal"/>
    <w:link w:val="BalloonTextChar"/>
    <w:uiPriority w:val="99"/>
    <w:semiHidden/>
    <w:unhideWhenUsed/>
    <w:rsid w:val="00732A4D"/>
    <w:rPr>
      <w:rFonts w:ascii="Tahoma" w:hAnsi="Tahoma" w:cs="Tahoma"/>
      <w:sz w:val="16"/>
      <w:szCs w:val="16"/>
    </w:rPr>
  </w:style>
  <w:style w:type="character" w:customStyle="1" w:styleId="BalloonTextChar">
    <w:name w:val="Balloon Text Char"/>
    <w:basedOn w:val="DefaultParagraphFont"/>
    <w:link w:val="BalloonText"/>
    <w:uiPriority w:val="99"/>
    <w:semiHidden/>
    <w:rsid w:val="00732A4D"/>
    <w:rPr>
      <w:rFonts w:ascii="Tahoma"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zh-CN"/>
    </w:rPr>
  </w:style>
  <w:style w:type="paragraph" w:styleId="Heading1">
    <w:name w:val="heading 1"/>
    <w:basedOn w:val="Normal"/>
    <w:link w:val="Heading1Char"/>
    <w:uiPriority w:val="9"/>
    <w:qFormat/>
    <w:rsid w:val="00732A4D"/>
    <w:pPr>
      <w:spacing w:after="300"/>
      <w:outlineLvl w:val="0"/>
    </w:pPr>
    <w:rPr>
      <w:rFonts w:eastAsia="Times New Roman"/>
      <w:b/>
      <w:bCs/>
      <w:color w:val="444444"/>
      <w:kern w:val="36"/>
      <w:lang w:eastAsia="en-GB"/>
    </w:rPr>
  </w:style>
  <w:style w:type="paragraph" w:styleId="Heading2">
    <w:name w:val="heading 2"/>
    <w:basedOn w:val="Normal"/>
    <w:link w:val="Heading2Char"/>
    <w:uiPriority w:val="9"/>
    <w:qFormat/>
    <w:rsid w:val="00732A4D"/>
    <w:pPr>
      <w:spacing w:after="300"/>
      <w:outlineLvl w:val="1"/>
    </w:pPr>
    <w:rPr>
      <w:rFonts w:eastAsia="Times New Roman"/>
      <w:b/>
      <w:bCs/>
      <w:color w:val="44444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2A4D"/>
    <w:rPr>
      <w:rFonts w:eastAsia="Times New Roman"/>
      <w:b/>
      <w:bCs/>
      <w:color w:val="444444"/>
      <w:kern w:val="36"/>
      <w:sz w:val="24"/>
      <w:szCs w:val="24"/>
      <w:lang w:eastAsia="en-GB"/>
    </w:rPr>
  </w:style>
  <w:style w:type="character" w:customStyle="1" w:styleId="Heading2Char">
    <w:name w:val="Heading 2 Char"/>
    <w:basedOn w:val="DefaultParagraphFont"/>
    <w:link w:val="Heading2"/>
    <w:uiPriority w:val="9"/>
    <w:rsid w:val="00732A4D"/>
    <w:rPr>
      <w:rFonts w:eastAsia="Times New Roman"/>
      <w:b/>
      <w:bCs/>
      <w:color w:val="444444"/>
      <w:sz w:val="24"/>
      <w:szCs w:val="24"/>
      <w:lang w:eastAsia="en-GB"/>
    </w:rPr>
  </w:style>
  <w:style w:type="character" w:styleId="Hyperlink">
    <w:name w:val="Hyperlink"/>
    <w:basedOn w:val="DefaultParagraphFont"/>
    <w:uiPriority w:val="99"/>
    <w:semiHidden/>
    <w:unhideWhenUsed/>
    <w:rsid w:val="00732A4D"/>
    <w:rPr>
      <w:b/>
      <w:bCs/>
      <w:strike w:val="0"/>
      <w:dstrike w:val="0"/>
      <w:color w:val="006699"/>
      <w:u w:val="none"/>
      <w:effect w:val="none"/>
    </w:rPr>
  </w:style>
  <w:style w:type="paragraph" w:styleId="NormalWeb">
    <w:name w:val="Normal (Web)"/>
    <w:basedOn w:val="Normal"/>
    <w:uiPriority w:val="99"/>
    <w:semiHidden/>
    <w:unhideWhenUsed/>
    <w:rsid w:val="00732A4D"/>
    <w:pPr>
      <w:spacing w:after="300"/>
    </w:pPr>
    <w:rPr>
      <w:rFonts w:eastAsia="Times New Roman"/>
      <w:lang w:eastAsia="en-GB"/>
    </w:rPr>
  </w:style>
  <w:style w:type="character" w:customStyle="1" w:styleId="legend1">
    <w:name w:val="legend1"/>
    <w:basedOn w:val="DefaultParagraphFont"/>
    <w:rsid w:val="00732A4D"/>
    <w:rPr>
      <w:b/>
      <w:bCs/>
      <w:color w:val="444444"/>
    </w:rPr>
  </w:style>
  <w:style w:type="character" w:customStyle="1" w:styleId="bullet">
    <w:name w:val="bullet"/>
    <w:basedOn w:val="DefaultParagraphFont"/>
    <w:rsid w:val="00732A4D"/>
  </w:style>
  <w:style w:type="character" w:customStyle="1" w:styleId="mb">
    <w:name w:val="mb"/>
    <w:basedOn w:val="DefaultParagraphFont"/>
    <w:rsid w:val="00732A4D"/>
    <w:rPr>
      <w:rFonts w:ascii="Arial Unicode MS" w:eastAsia="Arial Unicode MS" w:hAnsi="Arial Unicode MS" w:cs="Arial Unicode MS" w:hint="eastAsia"/>
      <w:vanish w:val="0"/>
      <w:webHidden w:val="0"/>
      <w:shd w:val="clear" w:color="auto" w:fill="auto"/>
      <w:specVanish w:val="0"/>
    </w:rPr>
  </w:style>
  <w:style w:type="paragraph" w:styleId="BalloonText">
    <w:name w:val="Balloon Text"/>
    <w:basedOn w:val="Normal"/>
    <w:link w:val="BalloonTextChar"/>
    <w:uiPriority w:val="99"/>
    <w:semiHidden/>
    <w:unhideWhenUsed/>
    <w:rsid w:val="00732A4D"/>
    <w:rPr>
      <w:rFonts w:ascii="Tahoma" w:hAnsi="Tahoma" w:cs="Tahoma"/>
      <w:sz w:val="16"/>
      <w:szCs w:val="16"/>
    </w:rPr>
  </w:style>
  <w:style w:type="character" w:customStyle="1" w:styleId="BalloonTextChar">
    <w:name w:val="Balloon Text Char"/>
    <w:basedOn w:val="DefaultParagraphFont"/>
    <w:link w:val="BalloonText"/>
    <w:uiPriority w:val="99"/>
    <w:semiHidden/>
    <w:rsid w:val="00732A4D"/>
    <w:rPr>
      <w:rFonts w:ascii="Tahoma"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2274107">
      <w:bodyDiv w:val="1"/>
      <w:marLeft w:val="0"/>
      <w:marRight w:val="0"/>
      <w:marTop w:val="0"/>
      <w:marBottom w:val="0"/>
      <w:divBdr>
        <w:top w:val="none" w:sz="0" w:space="0" w:color="auto"/>
        <w:left w:val="none" w:sz="0" w:space="0" w:color="auto"/>
        <w:bottom w:val="none" w:sz="0" w:space="0" w:color="auto"/>
        <w:right w:val="none" w:sz="0" w:space="0" w:color="auto"/>
      </w:divBdr>
      <w:divsChild>
        <w:div w:id="2027559976">
          <w:marLeft w:val="0"/>
          <w:marRight w:val="0"/>
          <w:marTop w:val="0"/>
          <w:marBottom w:val="0"/>
          <w:divBdr>
            <w:top w:val="none" w:sz="0" w:space="0" w:color="auto"/>
            <w:left w:val="none" w:sz="0" w:space="0" w:color="auto"/>
            <w:bottom w:val="none" w:sz="0" w:space="0" w:color="auto"/>
            <w:right w:val="none" w:sz="0" w:space="0" w:color="auto"/>
          </w:divBdr>
          <w:divsChild>
            <w:div w:id="1096442433">
              <w:marLeft w:val="0"/>
              <w:marRight w:val="0"/>
              <w:marTop w:val="0"/>
              <w:marBottom w:val="0"/>
              <w:divBdr>
                <w:top w:val="none" w:sz="0" w:space="0" w:color="auto"/>
                <w:left w:val="single" w:sz="48" w:space="0" w:color="FFFFFF"/>
                <w:bottom w:val="none" w:sz="0" w:space="0" w:color="auto"/>
                <w:right w:val="single" w:sz="48" w:space="0" w:color="FFFFFF"/>
              </w:divBdr>
              <w:divsChild>
                <w:div w:id="1580210219">
                  <w:marLeft w:val="0"/>
                  <w:marRight w:val="0"/>
                  <w:marTop w:val="0"/>
                  <w:marBottom w:val="0"/>
                  <w:divBdr>
                    <w:top w:val="none" w:sz="0" w:space="0" w:color="auto"/>
                    <w:left w:val="none" w:sz="0" w:space="0" w:color="auto"/>
                    <w:bottom w:val="none" w:sz="0" w:space="0" w:color="auto"/>
                    <w:right w:val="none" w:sz="0" w:space="0" w:color="auto"/>
                  </w:divBdr>
                  <w:divsChild>
                    <w:div w:id="1766074369">
                      <w:marLeft w:val="0"/>
                      <w:marRight w:val="0"/>
                      <w:marTop w:val="0"/>
                      <w:marBottom w:val="0"/>
                      <w:divBdr>
                        <w:top w:val="none" w:sz="0" w:space="0" w:color="auto"/>
                        <w:left w:val="none" w:sz="0" w:space="0" w:color="auto"/>
                        <w:bottom w:val="none" w:sz="0" w:space="0" w:color="auto"/>
                        <w:right w:val="none" w:sz="0" w:space="0" w:color="auto"/>
                      </w:divBdr>
                      <w:divsChild>
                        <w:div w:id="1431778661">
                          <w:marLeft w:val="0"/>
                          <w:marRight w:val="0"/>
                          <w:marTop w:val="0"/>
                          <w:marBottom w:val="0"/>
                          <w:divBdr>
                            <w:top w:val="none" w:sz="0" w:space="0" w:color="auto"/>
                            <w:left w:val="none" w:sz="0" w:space="0" w:color="auto"/>
                            <w:bottom w:val="none" w:sz="0" w:space="0" w:color="auto"/>
                            <w:right w:val="none" w:sz="0" w:space="0" w:color="auto"/>
                          </w:divBdr>
                        </w:div>
                      </w:divsChild>
                    </w:div>
                    <w:div w:id="1670984233">
                      <w:marLeft w:val="0"/>
                      <w:marRight w:val="0"/>
                      <w:marTop w:val="0"/>
                      <w:marBottom w:val="0"/>
                      <w:divBdr>
                        <w:top w:val="none" w:sz="0" w:space="0" w:color="auto"/>
                        <w:left w:val="none" w:sz="0" w:space="0" w:color="auto"/>
                        <w:bottom w:val="none" w:sz="0" w:space="0" w:color="auto"/>
                        <w:right w:val="none" w:sz="0" w:space="0" w:color="auto"/>
                      </w:divBdr>
                      <w:divsChild>
                        <w:div w:id="277611012">
                          <w:marLeft w:val="0"/>
                          <w:marRight w:val="0"/>
                          <w:marTop w:val="0"/>
                          <w:marBottom w:val="0"/>
                          <w:divBdr>
                            <w:top w:val="none" w:sz="0" w:space="0" w:color="auto"/>
                            <w:left w:val="none" w:sz="0" w:space="0" w:color="auto"/>
                            <w:bottom w:val="none" w:sz="0" w:space="0" w:color="auto"/>
                            <w:right w:val="none" w:sz="0" w:space="0" w:color="auto"/>
                          </w:divBdr>
                          <w:divsChild>
                            <w:div w:id="1136683594">
                              <w:marLeft w:val="0"/>
                              <w:marRight w:val="0"/>
                              <w:marTop w:val="0"/>
                              <w:marBottom w:val="285"/>
                              <w:divBdr>
                                <w:top w:val="none" w:sz="0" w:space="0" w:color="auto"/>
                                <w:left w:val="none" w:sz="0" w:space="0" w:color="auto"/>
                                <w:bottom w:val="none" w:sz="0" w:space="0" w:color="auto"/>
                                <w:right w:val="none" w:sz="0" w:space="0" w:color="auto"/>
                              </w:divBdr>
                              <w:divsChild>
                                <w:div w:id="1777746433">
                                  <w:marLeft w:val="0"/>
                                  <w:marRight w:val="0"/>
                                  <w:marTop w:val="0"/>
                                  <w:marBottom w:val="0"/>
                                  <w:divBdr>
                                    <w:top w:val="none" w:sz="0" w:space="0" w:color="auto"/>
                                    <w:left w:val="none" w:sz="0" w:space="0" w:color="auto"/>
                                    <w:bottom w:val="none" w:sz="0" w:space="0" w:color="auto"/>
                                    <w:right w:val="none" w:sz="0" w:space="0" w:color="auto"/>
                                  </w:divBdr>
                                  <w:divsChild>
                                    <w:div w:id="180619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31978">
                              <w:marLeft w:val="0"/>
                              <w:marRight w:val="0"/>
                              <w:marTop w:val="0"/>
                              <w:marBottom w:val="285"/>
                              <w:divBdr>
                                <w:top w:val="none" w:sz="0" w:space="0" w:color="auto"/>
                                <w:left w:val="none" w:sz="0" w:space="0" w:color="auto"/>
                                <w:bottom w:val="none" w:sz="0" w:space="0" w:color="auto"/>
                                <w:right w:val="none" w:sz="0" w:space="0" w:color="auto"/>
                              </w:divBdr>
                              <w:divsChild>
                                <w:div w:id="1102534057">
                                  <w:marLeft w:val="0"/>
                                  <w:marRight w:val="0"/>
                                  <w:marTop w:val="0"/>
                                  <w:marBottom w:val="0"/>
                                  <w:divBdr>
                                    <w:top w:val="none" w:sz="0" w:space="0" w:color="auto"/>
                                    <w:left w:val="none" w:sz="0" w:space="0" w:color="auto"/>
                                    <w:bottom w:val="none" w:sz="0" w:space="0" w:color="auto"/>
                                    <w:right w:val="none" w:sz="0" w:space="0" w:color="auto"/>
                                  </w:divBdr>
                                  <w:divsChild>
                                    <w:div w:id="121978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169488">
                              <w:marLeft w:val="0"/>
                              <w:marRight w:val="0"/>
                              <w:marTop w:val="0"/>
                              <w:marBottom w:val="285"/>
                              <w:divBdr>
                                <w:top w:val="none" w:sz="0" w:space="0" w:color="auto"/>
                                <w:left w:val="none" w:sz="0" w:space="0" w:color="auto"/>
                                <w:bottom w:val="none" w:sz="0" w:space="0" w:color="auto"/>
                                <w:right w:val="none" w:sz="0" w:space="0" w:color="auto"/>
                              </w:divBdr>
                              <w:divsChild>
                                <w:div w:id="1869180609">
                                  <w:marLeft w:val="0"/>
                                  <w:marRight w:val="0"/>
                                  <w:marTop w:val="0"/>
                                  <w:marBottom w:val="0"/>
                                  <w:divBdr>
                                    <w:top w:val="none" w:sz="0" w:space="0" w:color="auto"/>
                                    <w:left w:val="none" w:sz="0" w:space="0" w:color="auto"/>
                                    <w:bottom w:val="none" w:sz="0" w:space="0" w:color="auto"/>
                                    <w:right w:val="none" w:sz="0" w:space="0" w:color="auto"/>
                                  </w:divBdr>
                                  <w:divsChild>
                                    <w:div w:id="111872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ature.com.libezproxy.open.ac.uk/nature/journal/v488/n7411/full/nature11475.html" TargetMode="External"/><Relationship Id="rId18" Type="http://schemas.openxmlformats.org/officeDocument/2006/relationships/hyperlink" Target="http://www.nature.com.libezproxy.open.ac.uk/nature/journal/v488/n7411/full/nature11475.html" TargetMode="External"/><Relationship Id="rId26" Type="http://schemas.openxmlformats.org/officeDocument/2006/relationships/hyperlink" Target="http://www.nature.com.libezproxy.open.ac.uk/nature/journal/v488/n7411/full/nature11475.html" TargetMode="External"/><Relationship Id="rId39" Type="http://schemas.openxmlformats.org/officeDocument/2006/relationships/hyperlink" Target="http://www.nature.com.libezproxy.open.ac.uk/nature/journal/v488/n7411/full/nature11475.html" TargetMode="External"/><Relationship Id="rId3" Type="http://schemas.microsoft.com/office/2007/relationships/stylesWithEffects" Target="stylesWithEffects.xml"/><Relationship Id="rId21" Type="http://schemas.openxmlformats.org/officeDocument/2006/relationships/hyperlink" Target="http://www.nature.com.libezproxy.open.ac.uk/nature/journal/v488/n7411/full/nature11475.html" TargetMode="External"/><Relationship Id="rId34" Type="http://schemas.openxmlformats.org/officeDocument/2006/relationships/hyperlink" Target="http://www.nature.com.libezproxy.open.ac.uk/nature/journal/v488/n7411/full/nature11475.html" TargetMode="External"/><Relationship Id="rId42" Type="http://schemas.openxmlformats.org/officeDocument/2006/relationships/hyperlink" Target="http://www.nature.com.libezproxy.open.ac.uk/nature/journal/v488/n7411/full/nature11475.html" TargetMode="External"/><Relationship Id="rId47" Type="http://schemas.openxmlformats.org/officeDocument/2006/relationships/image" Target="media/image3.jpeg"/><Relationship Id="rId50" Type="http://schemas.openxmlformats.org/officeDocument/2006/relationships/hyperlink" Target="http://www.nature.com.libezproxy.open.ac.uk/nature/journal/v488/n7411/full/nature11475.html" TargetMode="External"/><Relationship Id="rId7" Type="http://schemas.openxmlformats.org/officeDocument/2006/relationships/hyperlink" Target="http://www.nature.com.libezproxy.open.ac.uk/nature/journal/v488/n7411/full/nature11475.html" TargetMode="External"/><Relationship Id="rId12" Type="http://schemas.openxmlformats.org/officeDocument/2006/relationships/hyperlink" Target="http://www.nature.com.libezproxy.open.ac.uk/nature/journal/v488/n7411/full/nature11475.html" TargetMode="External"/><Relationship Id="rId17" Type="http://schemas.openxmlformats.org/officeDocument/2006/relationships/hyperlink" Target="http://www.nature.com.libezproxy.open.ac.uk/nature/journal/v488/n7411/full/nature11475.html" TargetMode="External"/><Relationship Id="rId25" Type="http://schemas.openxmlformats.org/officeDocument/2006/relationships/hyperlink" Target="http://www.nature.com.libezproxy.open.ac.uk/nature/journal/v488/n7411/full/nature11475.html" TargetMode="External"/><Relationship Id="rId33" Type="http://schemas.openxmlformats.org/officeDocument/2006/relationships/hyperlink" Target="http://www.nature.com.libezproxy.open.ac.uk/nature/journal/v488/n7411/full/nature11475.html" TargetMode="External"/><Relationship Id="rId38" Type="http://schemas.openxmlformats.org/officeDocument/2006/relationships/hyperlink" Target="http://www.nature.com.libezproxy.open.ac.uk/nature/journal/v488/n7411/full/nature11475.html" TargetMode="External"/><Relationship Id="rId46" Type="http://schemas.openxmlformats.org/officeDocument/2006/relationships/hyperlink" Target="http://www.nature.com.libezproxy.open.ac.uk/nature/journal/v488/n7411/fig_tab/nature11475_F4.html" TargetMode="External"/><Relationship Id="rId2" Type="http://schemas.openxmlformats.org/officeDocument/2006/relationships/styles" Target="styles.xml"/><Relationship Id="rId16" Type="http://schemas.openxmlformats.org/officeDocument/2006/relationships/image" Target="media/image1.jpeg"/><Relationship Id="rId20" Type="http://schemas.openxmlformats.org/officeDocument/2006/relationships/hyperlink" Target="http://www.nature.com.libezproxy.open.ac.uk/nature/journal/v488/n7411/full/nature11475.html" TargetMode="External"/><Relationship Id="rId29" Type="http://schemas.openxmlformats.org/officeDocument/2006/relationships/hyperlink" Target="http://www.nature.com.libezproxy.open.ac.uk/nature/journal/v488/n7411/full/nature11475.html" TargetMode="External"/><Relationship Id="rId41" Type="http://schemas.openxmlformats.org/officeDocument/2006/relationships/hyperlink" Target="http://www.nature.com.libezproxy.open.ac.uk/nature/journal/v488/n7411/full/nature11475.html" TargetMode="External"/><Relationship Id="rId1" Type="http://schemas.openxmlformats.org/officeDocument/2006/relationships/numbering" Target="numbering.xml"/><Relationship Id="rId6" Type="http://schemas.openxmlformats.org/officeDocument/2006/relationships/hyperlink" Target="http://www.nature.com.libezproxy.open.ac.uk/nature/journal/v488/n7411/full/nature11475.html" TargetMode="External"/><Relationship Id="rId11" Type="http://schemas.openxmlformats.org/officeDocument/2006/relationships/hyperlink" Target="http://www.nature.com.libezproxy.open.ac.uk/nature/journal/v488/n7411/full/nature11475.html" TargetMode="External"/><Relationship Id="rId24" Type="http://schemas.openxmlformats.org/officeDocument/2006/relationships/hyperlink" Target="http://www.nature.com.libezproxy.open.ac.uk/nature/journal/v488/n7411/full/nature11475.html" TargetMode="External"/><Relationship Id="rId32" Type="http://schemas.openxmlformats.org/officeDocument/2006/relationships/hyperlink" Target="http://www.nature.com.libezproxy.open.ac.uk/nature/journal/v488/n7411/full/nature11475.html" TargetMode="External"/><Relationship Id="rId37" Type="http://schemas.openxmlformats.org/officeDocument/2006/relationships/hyperlink" Target="http://www.nature.com.libezproxy.open.ac.uk/nature/journal/v488/n7411/full/nature11475.html" TargetMode="External"/><Relationship Id="rId40" Type="http://schemas.openxmlformats.org/officeDocument/2006/relationships/hyperlink" Target="http://www.nature.com.libezproxy.open.ac.uk/nature/journal/v488/n7411/full/nature11475.html" TargetMode="External"/><Relationship Id="rId45" Type="http://schemas.openxmlformats.org/officeDocument/2006/relationships/image" Target="media/image2.jpeg"/><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nature.com.libezproxy.open.ac.uk/nature/journal/v488/n7411/fig_tab/nature11475_F2.html" TargetMode="External"/><Relationship Id="rId23" Type="http://schemas.openxmlformats.org/officeDocument/2006/relationships/hyperlink" Target="http://www.nature.com.libezproxy.open.ac.uk/nature/journal/v488/n7411/full/nature11475.html" TargetMode="External"/><Relationship Id="rId28" Type="http://schemas.openxmlformats.org/officeDocument/2006/relationships/hyperlink" Target="http://www.nature.com.libezproxy.open.ac.uk/nature/journal/v488/n7411/full/nature11475.html" TargetMode="External"/><Relationship Id="rId36" Type="http://schemas.openxmlformats.org/officeDocument/2006/relationships/hyperlink" Target="http://www.nature.com.libezproxy.open.ac.uk/nature/journal/v488/n7411/full/nature11475.html" TargetMode="External"/><Relationship Id="rId49" Type="http://schemas.openxmlformats.org/officeDocument/2006/relationships/hyperlink" Target="http://www.nature.com.libezproxy.open.ac.uk/nature/journal/v488/n7411/full/nature11475.html" TargetMode="External"/><Relationship Id="rId10" Type="http://schemas.openxmlformats.org/officeDocument/2006/relationships/hyperlink" Target="http://www.nature.com.libezproxy.open.ac.uk/nature/journal/v488/n7411/full/nature11475.html" TargetMode="External"/><Relationship Id="rId19" Type="http://schemas.openxmlformats.org/officeDocument/2006/relationships/hyperlink" Target="http://www.nature.com.libezproxy.open.ac.uk/nature/journal/v488/n7411/full/nature11475.html" TargetMode="External"/><Relationship Id="rId31" Type="http://schemas.openxmlformats.org/officeDocument/2006/relationships/hyperlink" Target="http://www.nature.com.libezproxy.open.ac.uk/nature/journal/v488/n7411/full/nature11475.html" TargetMode="External"/><Relationship Id="rId44" Type="http://schemas.openxmlformats.org/officeDocument/2006/relationships/hyperlink" Target="http://www.nature.com.libezproxy.open.ac.uk/nature/journal/v488/n7411/fig_tab/nature11475_F3.html"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ature.com.libezproxy.open.ac.uk/nature/journal/v488/n7411/full/nature11475.html" TargetMode="External"/><Relationship Id="rId14" Type="http://schemas.openxmlformats.org/officeDocument/2006/relationships/hyperlink" Target="http://www.nature.com.libezproxy.open.ac.uk/nature/journal/v488/n7411/full/nature11475.html" TargetMode="External"/><Relationship Id="rId22" Type="http://schemas.openxmlformats.org/officeDocument/2006/relationships/hyperlink" Target="http://www.nature.com.libezproxy.open.ac.uk/nature/journal/v488/n7411/full/nature11475.html" TargetMode="External"/><Relationship Id="rId27" Type="http://schemas.openxmlformats.org/officeDocument/2006/relationships/hyperlink" Target="http://www.nature.com.libezproxy.open.ac.uk/nature/journal/v488/n7411/full/nature11475.html" TargetMode="External"/><Relationship Id="rId30" Type="http://schemas.openxmlformats.org/officeDocument/2006/relationships/hyperlink" Target="http://www.nature.com.libezproxy.open.ac.uk/nature/journal/v488/n7411/full/nature11475.html" TargetMode="External"/><Relationship Id="rId35" Type="http://schemas.openxmlformats.org/officeDocument/2006/relationships/hyperlink" Target="http://www.nature.com.libezproxy.open.ac.uk/nature/journal/v488/n7411/full/nature11475.html" TargetMode="External"/><Relationship Id="rId43" Type="http://schemas.openxmlformats.org/officeDocument/2006/relationships/hyperlink" Target="http://www.nature.com.libezproxy.open.ac.uk/nature/journal/v488/n7411/full/nature11475.html" TargetMode="External"/><Relationship Id="rId48" Type="http://schemas.openxmlformats.org/officeDocument/2006/relationships/hyperlink" Target="http://www.nature.com.libezproxy.open.ac.uk/nature/journal/v488/n7411/full/nature11475.html" TargetMode="External"/><Relationship Id="rId8" Type="http://schemas.openxmlformats.org/officeDocument/2006/relationships/hyperlink" Target="http://www.nature.com.libezproxy.open.ac.uk/nature/journal/v488/n7411/full/nature11475.html" TargetMode="External"/><Relationship Id="rId51" Type="http://schemas.openxmlformats.org/officeDocument/2006/relationships/hyperlink" Target="http://www.nature.com.libezproxy.open.ac.uk/nature/journal/v488/n7411/full/nature11475.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4813</Words>
  <Characters>27439</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Hathaway</dc:creator>
  <cp:lastModifiedBy>Gary Hathaway</cp:lastModifiedBy>
  <cp:revision>2</cp:revision>
  <dcterms:created xsi:type="dcterms:W3CDTF">2016-01-31T14:39:00Z</dcterms:created>
  <dcterms:modified xsi:type="dcterms:W3CDTF">2016-01-31T14:39:00Z</dcterms:modified>
</cp:coreProperties>
</file>