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3C" w:rsidRPr="00250732" w:rsidRDefault="00D55E3A" w:rsidP="00787A98">
      <w:pPr>
        <w:pStyle w:val="Heading1"/>
        <w:rPr>
          <w:sz w:val="24"/>
          <w:szCs w:val="24"/>
        </w:rPr>
      </w:pPr>
      <w:r w:rsidRPr="00250732">
        <w:rPr>
          <w:sz w:val="24"/>
          <w:szCs w:val="24"/>
        </w:rPr>
        <w:t>Healthcare Financial Management and Economics</w:t>
      </w:r>
    </w:p>
    <w:p w:rsidR="00787A98" w:rsidRPr="00250732" w:rsidRDefault="00787A98" w:rsidP="00787A98">
      <w:pPr>
        <w:pStyle w:val="Heading1"/>
        <w:rPr>
          <w:sz w:val="24"/>
          <w:szCs w:val="24"/>
        </w:rPr>
      </w:pPr>
    </w:p>
    <w:p w:rsidR="00D55E3A" w:rsidRPr="00250732" w:rsidRDefault="00787A98" w:rsidP="00787A98">
      <w:pPr>
        <w:pStyle w:val="Heading1"/>
        <w:rPr>
          <w:sz w:val="24"/>
          <w:szCs w:val="24"/>
        </w:rPr>
      </w:pPr>
      <w:r w:rsidRPr="00250732">
        <w:rPr>
          <w:sz w:val="24"/>
          <w:szCs w:val="24"/>
        </w:rPr>
        <w:t>—</w:t>
      </w:r>
      <w:r w:rsidR="004D087C">
        <w:rPr>
          <w:sz w:val="24"/>
          <w:szCs w:val="24"/>
        </w:rPr>
        <w:t xml:space="preserve"> </w:t>
      </w:r>
      <w:bookmarkStart w:id="0" w:name="_GoBack"/>
      <w:r w:rsidR="00D55E3A" w:rsidRPr="00250732">
        <w:rPr>
          <w:sz w:val="24"/>
          <w:szCs w:val="24"/>
        </w:rPr>
        <w:t>Louis Medical Center</w:t>
      </w:r>
      <w:bookmarkEnd w:id="0"/>
    </w:p>
    <w:p w:rsidR="00D55E3A" w:rsidRPr="001435D7" w:rsidRDefault="00D55E3A" w:rsidP="00D55E3A">
      <w:pPr>
        <w:jc w:val="center"/>
      </w:pPr>
    </w:p>
    <w:p w:rsidR="00D55E3A" w:rsidRPr="00250732" w:rsidRDefault="00D55E3A" w:rsidP="00D55E3A">
      <w:pPr>
        <w:rPr>
          <w:rFonts w:cs="Arial"/>
          <w:b/>
        </w:rPr>
      </w:pPr>
      <w:r w:rsidRPr="00250732">
        <w:rPr>
          <w:rFonts w:cs="Arial"/>
          <w:b/>
        </w:rPr>
        <w:t>Developing Financial Statements</w:t>
      </w:r>
    </w:p>
    <w:p w:rsidR="00D55E3A" w:rsidRDefault="00D55E3A" w:rsidP="00D55E3A">
      <w:pPr>
        <w:rPr>
          <w:rFonts w:cs="Arial"/>
        </w:rPr>
      </w:pPr>
    </w:p>
    <w:p w:rsidR="000F4231" w:rsidRDefault="00D55E3A" w:rsidP="00D55E3A">
      <w:pPr>
        <w:rPr>
          <w:rFonts w:cs="Arial"/>
        </w:rPr>
      </w:pPr>
      <w:r>
        <w:rPr>
          <w:rFonts w:cs="Arial"/>
        </w:rPr>
        <w:t>All organizations, including those in the healthcare industry, need to make money to be profitable and survive. Financial statements, such as balance sheets, profit and loss statements, and cash flow statements, summarize an organization’s</w:t>
      </w:r>
      <w:r w:rsidR="00EE426A">
        <w:rPr>
          <w:rFonts w:cs="Arial"/>
        </w:rPr>
        <w:t xml:space="preserve"> profitability and</w:t>
      </w:r>
      <w:r>
        <w:rPr>
          <w:rFonts w:cs="Arial"/>
        </w:rPr>
        <w:t xml:space="preserve"> overall financial status. For this Assignment, </w:t>
      </w:r>
      <w:r w:rsidR="000F4231">
        <w:rPr>
          <w:rFonts w:cs="Arial"/>
        </w:rPr>
        <w:t>you practice developing three key financial statements using data from the Louis Medical Center.</w:t>
      </w:r>
    </w:p>
    <w:p w:rsidR="000F4231" w:rsidRDefault="000F4231" w:rsidP="00D55E3A">
      <w:pPr>
        <w:rPr>
          <w:rFonts w:cs="Arial"/>
        </w:rPr>
      </w:pPr>
    </w:p>
    <w:p w:rsidR="000F4231" w:rsidRDefault="000F4231" w:rsidP="000F4231">
      <w:pPr>
        <w:rPr>
          <w:rFonts w:cs="Arial"/>
        </w:rPr>
      </w:pPr>
      <w:r w:rsidRPr="000F4231">
        <w:rPr>
          <w:rFonts w:cs="Arial"/>
          <w:b/>
        </w:rPr>
        <w:t xml:space="preserve">Louis Medical Center </w:t>
      </w:r>
    </w:p>
    <w:p w:rsidR="000F4231" w:rsidRDefault="000F4231" w:rsidP="00D55E3A">
      <w:pPr>
        <w:rPr>
          <w:rFonts w:cs="Arial"/>
          <w:b/>
        </w:rPr>
      </w:pPr>
    </w:p>
    <w:p w:rsidR="00F630E6" w:rsidRPr="00523C4C" w:rsidRDefault="00F630E6" w:rsidP="00D55E3A">
      <w:pPr>
        <w:rPr>
          <w:rFonts w:cs="Arial"/>
        </w:rPr>
      </w:pPr>
      <w:r w:rsidRPr="00523C4C">
        <w:rPr>
          <w:rFonts w:cs="Arial"/>
        </w:rPr>
        <w:t xml:space="preserve">Louis Medical Center is a large </w:t>
      </w:r>
      <w:proofErr w:type="gramStart"/>
      <w:r w:rsidR="00431963">
        <w:rPr>
          <w:rFonts w:cs="Arial"/>
        </w:rPr>
        <w:t>M</w:t>
      </w:r>
      <w:r w:rsidRPr="00523C4C">
        <w:rPr>
          <w:rFonts w:cs="Arial"/>
        </w:rPr>
        <w:t>idwestern</w:t>
      </w:r>
      <w:proofErr w:type="gramEnd"/>
      <w:r w:rsidRPr="00523C4C">
        <w:rPr>
          <w:rFonts w:cs="Arial"/>
        </w:rPr>
        <w:t xml:space="preserve"> acute care and ambulatory facility serving an urban city population. </w:t>
      </w:r>
    </w:p>
    <w:p w:rsidR="000F4231" w:rsidRDefault="000F4231" w:rsidP="00D55E3A">
      <w:pPr>
        <w:rPr>
          <w:rFonts w:cs="Arial"/>
        </w:rPr>
      </w:pPr>
    </w:p>
    <w:tbl>
      <w:tblPr>
        <w:tblStyle w:val="TableGrid"/>
        <w:tblW w:w="7308" w:type="dxa"/>
        <w:tblLook w:val="04A0" w:firstRow="1" w:lastRow="0" w:firstColumn="1" w:lastColumn="0" w:noHBand="0" w:noVBand="1"/>
      </w:tblPr>
      <w:tblGrid>
        <w:gridCol w:w="5328"/>
        <w:gridCol w:w="1980"/>
      </w:tblGrid>
      <w:tr w:rsidR="000F4231" w:rsidRPr="00787A98" w:rsidTr="00787A98">
        <w:trPr>
          <w:trHeight w:val="225"/>
        </w:trPr>
        <w:tc>
          <w:tcPr>
            <w:tcW w:w="5328" w:type="dxa"/>
            <w:noWrap/>
            <w:hideMark/>
          </w:tcPr>
          <w:p w:rsidR="000F4231" w:rsidRPr="00787A98" w:rsidRDefault="000F4231" w:rsidP="00664EFF">
            <w:pPr>
              <w:rPr>
                <w:rFonts w:cs="Arial"/>
                <w:b/>
                <w:bCs/>
                <w:sz w:val="22"/>
                <w:szCs w:val="16"/>
              </w:rPr>
            </w:pPr>
            <w:r w:rsidRPr="00787A98">
              <w:rPr>
                <w:rFonts w:cs="Arial"/>
                <w:b/>
                <w:bCs/>
                <w:sz w:val="22"/>
                <w:szCs w:val="16"/>
              </w:rPr>
              <w:t>Givens (in '000s):</w:t>
            </w:r>
          </w:p>
        </w:tc>
        <w:tc>
          <w:tcPr>
            <w:tcW w:w="1980" w:type="dxa"/>
            <w:noWrap/>
            <w:hideMark/>
          </w:tcPr>
          <w:p w:rsidR="000F4231" w:rsidRPr="00787A98" w:rsidRDefault="000F4231" w:rsidP="00664EFF">
            <w:pPr>
              <w:rPr>
                <w:rFonts w:cs="Arial"/>
                <w:sz w:val="22"/>
                <w:szCs w:val="16"/>
              </w:rPr>
            </w:pP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Inventory</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$7,000 </w:t>
            </w:r>
          </w:p>
        </w:tc>
      </w:tr>
      <w:tr w:rsidR="000F4231" w:rsidRPr="00787A98" w:rsidTr="00787A98">
        <w:trPr>
          <w:trHeight w:val="215"/>
        </w:trPr>
        <w:tc>
          <w:tcPr>
            <w:tcW w:w="5328" w:type="dxa"/>
            <w:hideMark/>
          </w:tcPr>
          <w:p w:rsidR="000F4231" w:rsidRPr="00787A98" w:rsidRDefault="000F4231" w:rsidP="00664EFF">
            <w:pPr>
              <w:rPr>
                <w:rFonts w:cs="Arial"/>
                <w:sz w:val="22"/>
                <w:szCs w:val="16"/>
              </w:rPr>
            </w:pPr>
            <w:r w:rsidRPr="00787A98">
              <w:rPr>
                <w:rFonts w:cs="Arial"/>
                <w:sz w:val="22"/>
                <w:szCs w:val="16"/>
              </w:rPr>
              <w:t>Patient revenues (net of contractual allowance)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$220,000</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Gross plant, property, and equipment</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$161,900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Net accounts receivable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$65,000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Ending balance, temporarily restricted net assets</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$9,300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Wages payable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$18,000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Long-term debt</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$104,000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Supply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$18,000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Net assets released from temporary restriction</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$3,500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Depreciation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$20,000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General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$40,000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Provision for bad debt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$12,000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Cash and cash equivalents</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$7,500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Transfer to parent corporation</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($3,300)</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Beginning balance, unrestricted net assets</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$70,000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 xml:space="preserve">Accounts payable </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$12,000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Beginning balance, temporarily restricted net assets</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$12,800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Interest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$6,500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Labor expense</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$77,600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Accumulated depreciation</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$90,000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 xml:space="preserve">Long-term investments </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$108,000 </w:t>
            </w:r>
          </w:p>
        </w:tc>
      </w:tr>
      <w:tr w:rsidR="000F4231" w:rsidRPr="00787A98" w:rsidTr="00787A98">
        <w:trPr>
          <w:trHeight w:val="225"/>
        </w:trPr>
        <w:tc>
          <w:tcPr>
            <w:tcW w:w="5328" w:type="dxa"/>
            <w:noWrap/>
            <w:hideMark/>
          </w:tcPr>
          <w:p w:rsidR="000F4231" w:rsidRPr="00787A98" w:rsidRDefault="000F4231" w:rsidP="00664EFF">
            <w:pPr>
              <w:rPr>
                <w:rFonts w:cs="Arial"/>
                <w:sz w:val="22"/>
                <w:szCs w:val="16"/>
              </w:rPr>
            </w:pPr>
            <w:r w:rsidRPr="00787A98">
              <w:rPr>
                <w:rFonts w:cs="Arial"/>
                <w:sz w:val="22"/>
                <w:szCs w:val="16"/>
              </w:rPr>
              <w:t>Ending balance, unrestricted net assets</w:t>
            </w:r>
          </w:p>
        </w:tc>
        <w:tc>
          <w:tcPr>
            <w:tcW w:w="1980" w:type="dxa"/>
            <w:noWrap/>
            <w:hideMark/>
          </w:tcPr>
          <w:p w:rsidR="000F4231" w:rsidRPr="00787A98" w:rsidRDefault="000F4231" w:rsidP="00664EFF">
            <w:pPr>
              <w:jc w:val="right"/>
              <w:rPr>
                <w:rFonts w:cs="Arial"/>
                <w:sz w:val="22"/>
                <w:szCs w:val="16"/>
              </w:rPr>
            </w:pPr>
            <w:r w:rsidRPr="00787A98">
              <w:rPr>
                <w:rFonts w:cs="Arial"/>
                <w:sz w:val="22"/>
                <w:szCs w:val="16"/>
              </w:rPr>
              <w:t xml:space="preserve">$116,100 </w:t>
            </w:r>
          </w:p>
        </w:tc>
      </w:tr>
    </w:tbl>
    <w:p w:rsidR="000F4231" w:rsidRDefault="000F4231" w:rsidP="00D55E3A">
      <w:pPr>
        <w:rPr>
          <w:rFonts w:cs="Arial"/>
        </w:rPr>
      </w:pPr>
    </w:p>
    <w:p w:rsidR="000F4231" w:rsidRDefault="000F4231" w:rsidP="00D55E3A">
      <w:pPr>
        <w:rPr>
          <w:rFonts w:cs="Arial"/>
        </w:rPr>
      </w:pPr>
    </w:p>
    <w:p w:rsidR="000F4231" w:rsidRPr="00523C4C" w:rsidRDefault="000F4231" w:rsidP="00D55E3A">
      <w:pPr>
        <w:rPr>
          <w:rFonts w:cs="Arial"/>
          <w:b/>
        </w:rPr>
      </w:pPr>
      <w:r w:rsidRPr="00523C4C">
        <w:rPr>
          <w:rFonts w:cs="Arial"/>
          <w:b/>
        </w:rPr>
        <w:t>To prepare for this Assignment:</w:t>
      </w:r>
    </w:p>
    <w:p w:rsidR="000F4231" w:rsidRDefault="000F4231" w:rsidP="00D55E3A">
      <w:pPr>
        <w:rPr>
          <w:rFonts w:cs="Arial"/>
        </w:rPr>
      </w:pPr>
    </w:p>
    <w:p w:rsidR="000F4231" w:rsidRDefault="000F4231" w:rsidP="00D55E3A">
      <w:pPr>
        <w:rPr>
          <w:rFonts w:cs="Arial"/>
        </w:rPr>
      </w:pPr>
      <w:r>
        <w:rPr>
          <w:rFonts w:cs="Arial"/>
        </w:rPr>
        <w:t>Examine</w:t>
      </w:r>
      <w:r w:rsidR="00D55E3A">
        <w:rPr>
          <w:rFonts w:cs="Arial"/>
        </w:rPr>
        <w:t xml:space="preserve"> the data from Louis Medical Center. </w:t>
      </w:r>
      <w:r>
        <w:rPr>
          <w:rFonts w:cs="Arial"/>
        </w:rPr>
        <w:t>Reflect on how you will use this data to develop a Balance Sheet, Profit and Loss Statement, and Cash Flow Statement. Refer to the course text for additional guidance.</w:t>
      </w:r>
    </w:p>
    <w:p w:rsidR="00D55E3A" w:rsidRDefault="00D55E3A" w:rsidP="00D55E3A">
      <w:pPr>
        <w:rPr>
          <w:rFonts w:cs="Arial"/>
        </w:rPr>
      </w:pPr>
    </w:p>
    <w:p w:rsidR="000F4231" w:rsidRDefault="000F4231" w:rsidP="000F4231">
      <w:pPr>
        <w:rPr>
          <w:rFonts w:cs="Arial"/>
          <w:b/>
        </w:rPr>
      </w:pPr>
      <w:r w:rsidRPr="000F4231">
        <w:rPr>
          <w:rFonts w:cs="Arial"/>
          <w:b/>
        </w:rPr>
        <w:lastRenderedPageBreak/>
        <w:t>The Assignment:</w:t>
      </w:r>
    </w:p>
    <w:p w:rsidR="000F4231" w:rsidRDefault="000F4231" w:rsidP="00D55E3A">
      <w:pPr>
        <w:rPr>
          <w:rFonts w:cs="Arial"/>
          <w:b/>
        </w:rPr>
      </w:pPr>
    </w:p>
    <w:p w:rsidR="000F4231" w:rsidRDefault="00A15F8C" w:rsidP="000F4231">
      <w:pPr>
        <w:rPr>
          <w:rFonts w:cs="Arial"/>
        </w:rPr>
      </w:pPr>
      <w:r>
        <w:rPr>
          <w:rFonts w:cs="Arial"/>
        </w:rPr>
        <w:t>C</w:t>
      </w:r>
      <w:r w:rsidR="000F4231">
        <w:rPr>
          <w:rFonts w:cs="Arial"/>
        </w:rPr>
        <w:t xml:space="preserve">omplete a Balance Sheet, Profit and Loss Statement (Statement of Operations), and Cash Flow Statement (Statement of Changes in Net Assets) using the </w:t>
      </w:r>
      <w:r w:rsidR="008F7070" w:rsidRPr="00787A98">
        <w:rPr>
          <w:rFonts w:cs="Arial"/>
        </w:rPr>
        <w:t xml:space="preserve">Week 7 </w:t>
      </w:r>
      <w:r w:rsidR="000F4231" w:rsidRPr="00787A98">
        <w:rPr>
          <w:rFonts w:cs="Arial"/>
        </w:rPr>
        <w:t xml:space="preserve">Financial Statement </w:t>
      </w:r>
      <w:r w:rsidR="008F7070" w:rsidRPr="00787A98">
        <w:rPr>
          <w:rFonts w:cs="Arial"/>
        </w:rPr>
        <w:t xml:space="preserve">Excel </w:t>
      </w:r>
      <w:r w:rsidR="000F4231" w:rsidRPr="00787A98">
        <w:rPr>
          <w:rFonts w:cs="Arial"/>
        </w:rPr>
        <w:t>Template</w:t>
      </w:r>
      <w:r w:rsidR="000F4231" w:rsidRPr="008F7070">
        <w:rPr>
          <w:rFonts w:cs="Arial"/>
          <w:i/>
        </w:rPr>
        <w:t xml:space="preserve"> </w:t>
      </w:r>
      <w:r w:rsidR="000F4231">
        <w:rPr>
          <w:rFonts w:cs="Arial"/>
        </w:rPr>
        <w:t>located in the Learning Resources.</w:t>
      </w:r>
    </w:p>
    <w:p w:rsidR="000F4231" w:rsidRPr="000F4231" w:rsidRDefault="000F4231" w:rsidP="00D55E3A">
      <w:pPr>
        <w:rPr>
          <w:rFonts w:cs="Arial"/>
          <w:b/>
        </w:rPr>
      </w:pPr>
    </w:p>
    <w:p w:rsidR="00D55E3A" w:rsidRDefault="00D55E3A" w:rsidP="00D55E3A">
      <w:pPr>
        <w:rPr>
          <w:rFonts w:cs="Arial"/>
          <w:b/>
        </w:rPr>
      </w:pPr>
      <w:r>
        <w:rPr>
          <w:rFonts w:cs="Arial"/>
          <w:b/>
        </w:rPr>
        <w:t>Your Assignment is due by</w:t>
      </w:r>
      <w:r>
        <w:rPr>
          <w:rFonts w:cs="Arial"/>
        </w:rPr>
        <w:t xml:space="preserve"> </w:t>
      </w:r>
      <w:r>
        <w:rPr>
          <w:rFonts w:cs="Arial"/>
          <w:b/>
        </w:rPr>
        <w:t>Day 7</w:t>
      </w:r>
      <w:r w:rsidR="0018098A">
        <w:rPr>
          <w:rFonts w:cs="Arial"/>
          <w:b/>
        </w:rPr>
        <w:t xml:space="preserve"> of Week 7</w:t>
      </w:r>
      <w:r>
        <w:rPr>
          <w:rFonts w:cs="Arial"/>
          <w:b/>
        </w:rPr>
        <w:t>.</w:t>
      </w:r>
    </w:p>
    <w:p w:rsidR="00D55E3A" w:rsidRDefault="00D55E3A" w:rsidP="00D55E3A">
      <w:pPr>
        <w:jc w:val="center"/>
      </w:pPr>
    </w:p>
    <w:p w:rsidR="00D55E3A" w:rsidRDefault="00D55E3A" w:rsidP="00D55E3A">
      <w:pPr>
        <w:jc w:val="center"/>
      </w:pPr>
    </w:p>
    <w:p w:rsidR="00D55E3A" w:rsidRDefault="00D55E3A" w:rsidP="00D55E3A"/>
    <w:sectPr w:rsidR="00D55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E1" w:rsidRDefault="006003E1" w:rsidP="008B3439">
      <w:r>
        <w:separator/>
      </w:r>
    </w:p>
  </w:endnote>
  <w:endnote w:type="continuationSeparator" w:id="0">
    <w:p w:rsidR="006003E1" w:rsidRDefault="006003E1" w:rsidP="008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39" w:rsidRPr="008B3439" w:rsidRDefault="008B3439" w:rsidP="008B3439">
    <w:pPr>
      <w:tabs>
        <w:tab w:val="right" w:pos="9360"/>
      </w:tabs>
      <w:rPr>
        <w:sz w:val="20"/>
      </w:rPr>
    </w:pPr>
    <w:r w:rsidRPr="008B3439">
      <w:rPr>
        <w:sz w:val="20"/>
      </w:rPr>
      <w:t>© 2015 Laureate Education, Inc.</w:t>
    </w:r>
    <w:r w:rsidRPr="008B3439">
      <w:rPr>
        <w:sz w:val="20"/>
      </w:rPr>
      <w:tab/>
      <w:t xml:space="preserve">Page </w:t>
    </w:r>
    <w:r w:rsidRPr="008B3439">
      <w:rPr>
        <w:sz w:val="20"/>
      </w:rPr>
      <w:fldChar w:fldCharType="begin"/>
    </w:r>
    <w:r w:rsidRPr="008B3439">
      <w:rPr>
        <w:sz w:val="20"/>
      </w:rPr>
      <w:instrText xml:space="preserve"> PAGE   \* MERGEFORMAT </w:instrText>
    </w:r>
    <w:r w:rsidRPr="008B3439">
      <w:rPr>
        <w:sz w:val="20"/>
      </w:rPr>
      <w:fldChar w:fldCharType="separate"/>
    </w:r>
    <w:r w:rsidR="005909BE">
      <w:rPr>
        <w:noProof/>
        <w:sz w:val="20"/>
      </w:rPr>
      <w:t>1</w:t>
    </w:r>
    <w:r w:rsidRPr="008B3439">
      <w:rPr>
        <w:noProof/>
        <w:sz w:val="20"/>
      </w:rPr>
      <w:fldChar w:fldCharType="end"/>
    </w:r>
    <w:r w:rsidRPr="008B3439">
      <w:rPr>
        <w:sz w:val="20"/>
      </w:rPr>
      <w:t xml:space="preserve"> of </w:t>
    </w:r>
    <w:r w:rsidRPr="008B3439">
      <w:rPr>
        <w:sz w:val="20"/>
      </w:rPr>
      <w:fldChar w:fldCharType="begin"/>
    </w:r>
    <w:r w:rsidRPr="008B3439">
      <w:rPr>
        <w:sz w:val="20"/>
      </w:rPr>
      <w:instrText xml:space="preserve"> NUMPAGES   \* MERGEFORMAT </w:instrText>
    </w:r>
    <w:r w:rsidRPr="008B3439">
      <w:rPr>
        <w:sz w:val="20"/>
      </w:rPr>
      <w:fldChar w:fldCharType="separate"/>
    </w:r>
    <w:r w:rsidR="005909BE">
      <w:rPr>
        <w:noProof/>
        <w:sz w:val="20"/>
      </w:rPr>
      <w:t>2</w:t>
    </w:r>
    <w:r w:rsidRPr="008B3439">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E1" w:rsidRDefault="006003E1" w:rsidP="008B3439">
      <w:r>
        <w:separator/>
      </w:r>
    </w:p>
  </w:footnote>
  <w:footnote w:type="continuationSeparator" w:id="0">
    <w:p w:rsidR="006003E1" w:rsidRDefault="006003E1" w:rsidP="008B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3A"/>
    <w:rsid w:val="000F4231"/>
    <w:rsid w:val="001131A5"/>
    <w:rsid w:val="00125D33"/>
    <w:rsid w:val="001435D7"/>
    <w:rsid w:val="0018098A"/>
    <w:rsid w:val="002201A7"/>
    <w:rsid w:val="00250732"/>
    <w:rsid w:val="00431963"/>
    <w:rsid w:val="00490B3E"/>
    <w:rsid w:val="004D087C"/>
    <w:rsid w:val="0051056B"/>
    <w:rsid w:val="00523C4C"/>
    <w:rsid w:val="005731B0"/>
    <w:rsid w:val="005909BE"/>
    <w:rsid w:val="006003E1"/>
    <w:rsid w:val="00732EA3"/>
    <w:rsid w:val="00787A98"/>
    <w:rsid w:val="0080653F"/>
    <w:rsid w:val="0085309A"/>
    <w:rsid w:val="008B3439"/>
    <w:rsid w:val="008F7070"/>
    <w:rsid w:val="00902F84"/>
    <w:rsid w:val="00A15F8C"/>
    <w:rsid w:val="00BC1C05"/>
    <w:rsid w:val="00BE58CE"/>
    <w:rsid w:val="00BF6D20"/>
    <w:rsid w:val="00C67E4E"/>
    <w:rsid w:val="00CE4C3C"/>
    <w:rsid w:val="00D416B3"/>
    <w:rsid w:val="00D55E3A"/>
    <w:rsid w:val="00EE426A"/>
    <w:rsid w:val="00F00F8F"/>
    <w:rsid w:val="00F6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A98"/>
    <w:rPr>
      <w:sz w:val="24"/>
      <w:szCs w:val="24"/>
      <w:lang w:bidi="en-US"/>
    </w:rPr>
  </w:style>
  <w:style w:type="paragraph" w:styleId="Heading1">
    <w:name w:val="heading 1"/>
    <w:basedOn w:val="Normal"/>
    <w:next w:val="Normal"/>
    <w:link w:val="Heading1Char"/>
    <w:uiPriority w:val="2"/>
    <w:qFormat/>
    <w:rsid w:val="00787A98"/>
    <w:pPr>
      <w:keepNext/>
      <w:jc w:val="center"/>
      <w:outlineLvl w:val="0"/>
    </w:pPr>
    <w:rPr>
      <w:rFonts w:cs="Arial"/>
      <w:b/>
      <w:bCs/>
      <w:kern w:val="32"/>
      <w:sz w:val="28"/>
      <w:szCs w:val="32"/>
      <w:lang w:bidi="ar-SA"/>
    </w:rPr>
  </w:style>
  <w:style w:type="paragraph" w:styleId="Heading2">
    <w:name w:val="heading 2"/>
    <w:basedOn w:val="Normal"/>
    <w:next w:val="Normal"/>
    <w:link w:val="Heading2Char"/>
    <w:uiPriority w:val="3"/>
    <w:qFormat/>
    <w:rsid w:val="00787A98"/>
    <w:pPr>
      <w:keepNext/>
      <w:outlineLvl w:val="1"/>
    </w:pPr>
    <w:rPr>
      <w:b/>
      <w:bCs/>
      <w:iCs/>
      <w:sz w:val="28"/>
      <w:szCs w:val="28"/>
      <w:lang w:bidi="ar-SA"/>
    </w:rPr>
  </w:style>
  <w:style w:type="paragraph" w:styleId="Heading3">
    <w:name w:val="heading 3"/>
    <w:basedOn w:val="Normal"/>
    <w:next w:val="Normal"/>
    <w:link w:val="Heading3Char"/>
    <w:uiPriority w:val="4"/>
    <w:qFormat/>
    <w:rsid w:val="00787A98"/>
    <w:pPr>
      <w:keepNext/>
      <w:outlineLvl w:val="2"/>
    </w:pPr>
    <w:rPr>
      <w:b/>
      <w:bCs/>
      <w:szCs w:val="26"/>
      <w:lang w:bidi="ar-SA"/>
    </w:rPr>
  </w:style>
  <w:style w:type="paragraph" w:styleId="Heading4">
    <w:name w:val="heading 4"/>
    <w:basedOn w:val="Normal"/>
    <w:next w:val="Normal"/>
    <w:link w:val="Heading4Char"/>
    <w:uiPriority w:val="5"/>
    <w:qFormat/>
    <w:rsid w:val="00787A98"/>
    <w:pPr>
      <w:keepNext/>
      <w:outlineLvl w:val="3"/>
    </w:pPr>
    <w:rPr>
      <w:rFonts w:eastAsiaTheme="majorEastAsia" w:cstheme="majorBidi"/>
      <w:b/>
      <w:bCs/>
      <w:i/>
      <w:szCs w:val="28"/>
      <w:lang w:bidi="ar-SA"/>
    </w:rPr>
  </w:style>
  <w:style w:type="paragraph" w:styleId="Heading7">
    <w:name w:val="heading 7"/>
    <w:basedOn w:val="Normal"/>
    <w:next w:val="Normal"/>
    <w:link w:val="Heading7Char"/>
    <w:uiPriority w:val="9"/>
    <w:semiHidden/>
    <w:qFormat/>
    <w:rsid w:val="00787A98"/>
    <w:pPr>
      <w:spacing w:before="240" w:after="60"/>
      <w:outlineLvl w:val="6"/>
    </w:pPr>
    <w:rPr>
      <w:rFonts w:ascii="Calibri" w:hAnsi="Calibri"/>
      <w:lang w:bidi="ar-SA"/>
    </w:rPr>
  </w:style>
  <w:style w:type="paragraph" w:styleId="Heading8">
    <w:name w:val="heading 8"/>
    <w:basedOn w:val="Normal"/>
    <w:next w:val="Normal"/>
    <w:link w:val="Heading8Char"/>
    <w:uiPriority w:val="9"/>
    <w:semiHidden/>
    <w:qFormat/>
    <w:rsid w:val="00787A98"/>
    <w:pPr>
      <w:spacing w:before="240" w:after="60"/>
      <w:outlineLvl w:val="7"/>
    </w:pPr>
    <w:rPr>
      <w:rFonts w:ascii="Calibri" w:hAnsi="Calibri"/>
      <w:i/>
      <w:iCs/>
      <w:lang w:bidi="ar-SA"/>
    </w:rPr>
  </w:style>
  <w:style w:type="paragraph" w:styleId="Heading9">
    <w:name w:val="heading 9"/>
    <w:basedOn w:val="Normal"/>
    <w:next w:val="Normal"/>
    <w:link w:val="Heading9Char"/>
    <w:uiPriority w:val="9"/>
    <w:semiHidden/>
    <w:qFormat/>
    <w:rsid w:val="00787A98"/>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5E3A"/>
    <w:rPr>
      <w:rFonts w:eastAsiaTheme="minorEastAsia"/>
      <w:sz w:val="20"/>
      <w:szCs w:val="20"/>
    </w:rPr>
  </w:style>
  <w:style w:type="character" w:customStyle="1" w:styleId="CommentTextChar">
    <w:name w:val="Comment Text Char"/>
    <w:basedOn w:val="DefaultParagraphFont"/>
    <w:link w:val="CommentText"/>
    <w:uiPriority w:val="99"/>
    <w:semiHidden/>
    <w:rsid w:val="00D55E3A"/>
    <w:rPr>
      <w:rFonts w:eastAsiaTheme="minorEastAsia"/>
      <w:sz w:val="20"/>
      <w:szCs w:val="20"/>
    </w:rPr>
  </w:style>
  <w:style w:type="paragraph" w:styleId="Header">
    <w:name w:val="header"/>
    <w:basedOn w:val="Normal"/>
    <w:link w:val="HeaderChar"/>
    <w:uiPriority w:val="99"/>
    <w:unhideWhenUsed/>
    <w:rsid w:val="00D55E3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55E3A"/>
    <w:rPr>
      <w:rFonts w:eastAsiaTheme="minorEastAsia"/>
    </w:rPr>
  </w:style>
  <w:style w:type="character" w:styleId="CommentReference">
    <w:name w:val="annotation reference"/>
    <w:basedOn w:val="DefaultParagraphFont"/>
    <w:uiPriority w:val="99"/>
    <w:semiHidden/>
    <w:unhideWhenUsed/>
    <w:rsid w:val="00D55E3A"/>
    <w:rPr>
      <w:sz w:val="16"/>
      <w:szCs w:val="16"/>
    </w:rPr>
  </w:style>
  <w:style w:type="paragraph" w:styleId="BalloonText">
    <w:name w:val="Balloon Text"/>
    <w:basedOn w:val="Normal"/>
    <w:link w:val="BalloonTextChar"/>
    <w:uiPriority w:val="99"/>
    <w:semiHidden/>
    <w:unhideWhenUsed/>
    <w:rsid w:val="00D55E3A"/>
    <w:rPr>
      <w:rFonts w:ascii="Tahoma" w:hAnsi="Tahoma" w:cs="Tahoma"/>
      <w:sz w:val="16"/>
      <w:szCs w:val="16"/>
    </w:rPr>
  </w:style>
  <w:style w:type="character" w:customStyle="1" w:styleId="BalloonTextChar">
    <w:name w:val="Balloon Text Char"/>
    <w:basedOn w:val="DefaultParagraphFont"/>
    <w:link w:val="BalloonText"/>
    <w:uiPriority w:val="99"/>
    <w:semiHidden/>
    <w:rsid w:val="00D55E3A"/>
    <w:rPr>
      <w:rFonts w:ascii="Tahoma" w:hAnsi="Tahoma" w:cs="Tahoma"/>
      <w:sz w:val="16"/>
      <w:szCs w:val="16"/>
    </w:rPr>
  </w:style>
  <w:style w:type="table" w:styleId="TableGrid">
    <w:name w:val="Table Grid"/>
    <w:basedOn w:val="TableNormal"/>
    <w:uiPriority w:val="59"/>
    <w:rsid w:val="00D55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F6D20"/>
    <w:rPr>
      <w:rFonts w:eastAsiaTheme="minorHAnsi"/>
      <w:b/>
      <w:bCs/>
    </w:rPr>
  </w:style>
  <w:style w:type="character" w:customStyle="1" w:styleId="CommentSubjectChar">
    <w:name w:val="Comment Subject Char"/>
    <w:basedOn w:val="CommentTextChar"/>
    <w:link w:val="CommentSubject"/>
    <w:uiPriority w:val="99"/>
    <w:semiHidden/>
    <w:rsid w:val="00BF6D20"/>
    <w:rPr>
      <w:rFonts w:eastAsiaTheme="minorEastAsia"/>
      <w:b/>
      <w:bCs/>
      <w:sz w:val="20"/>
      <w:szCs w:val="20"/>
    </w:rPr>
  </w:style>
  <w:style w:type="paragraph" w:customStyle="1" w:styleId="Biblio">
    <w:name w:val="Biblio"/>
    <w:basedOn w:val="Normal"/>
    <w:link w:val="BiblioChar"/>
    <w:qFormat/>
    <w:rsid w:val="00787A98"/>
    <w:pPr>
      <w:spacing w:line="480" w:lineRule="auto"/>
      <w:ind w:left="720" w:hanging="720"/>
      <w:outlineLvl w:val="5"/>
    </w:pPr>
    <w:rPr>
      <w:rFonts w:cs="Arial"/>
      <w:lang w:eastAsia="zh-CN"/>
    </w:rPr>
  </w:style>
  <w:style w:type="character" w:customStyle="1" w:styleId="BiblioChar">
    <w:name w:val="Biblio Char"/>
    <w:basedOn w:val="DefaultParagraphFont"/>
    <w:link w:val="Biblio"/>
    <w:rsid w:val="00787A98"/>
    <w:rPr>
      <w:rFonts w:cs="Arial"/>
      <w:sz w:val="24"/>
      <w:szCs w:val="24"/>
      <w:lang w:eastAsia="zh-CN" w:bidi="en-US"/>
    </w:rPr>
  </w:style>
  <w:style w:type="paragraph" w:customStyle="1" w:styleId="Heading4-Indent">
    <w:name w:val="Heading 4 - Indent"/>
    <w:basedOn w:val="Heading4"/>
    <w:link w:val="Heading4-IndentChar"/>
    <w:uiPriority w:val="5"/>
    <w:qFormat/>
    <w:rsid w:val="00787A98"/>
    <w:pPr>
      <w:ind w:left="720"/>
    </w:pPr>
  </w:style>
  <w:style w:type="character" w:customStyle="1" w:styleId="Heading4-IndentChar">
    <w:name w:val="Heading 4 - Indent Char"/>
    <w:basedOn w:val="Heading4Char"/>
    <w:link w:val="Heading4-Indent"/>
    <w:uiPriority w:val="5"/>
    <w:rsid w:val="00787A98"/>
    <w:rPr>
      <w:rFonts w:eastAsiaTheme="majorEastAsia" w:cstheme="majorBidi"/>
      <w:b/>
      <w:bCs/>
      <w:i/>
      <w:sz w:val="24"/>
      <w:szCs w:val="28"/>
    </w:rPr>
  </w:style>
  <w:style w:type="character" w:customStyle="1" w:styleId="Heading4Char">
    <w:name w:val="Heading 4 Char"/>
    <w:basedOn w:val="DefaultParagraphFont"/>
    <w:link w:val="Heading4"/>
    <w:uiPriority w:val="5"/>
    <w:rsid w:val="00787A98"/>
    <w:rPr>
      <w:rFonts w:eastAsiaTheme="majorEastAsia" w:cstheme="majorBidi"/>
      <w:b/>
      <w:bCs/>
      <w:i/>
      <w:sz w:val="24"/>
      <w:szCs w:val="28"/>
    </w:rPr>
  </w:style>
  <w:style w:type="paragraph" w:customStyle="1" w:styleId="Blockquote-Normal">
    <w:name w:val="Blockquote - Normal"/>
    <w:basedOn w:val="Normal"/>
    <w:link w:val="Blockquote-NormalChar"/>
    <w:qFormat/>
    <w:rsid w:val="00787A98"/>
    <w:pPr>
      <w:ind w:left="720"/>
    </w:pPr>
  </w:style>
  <w:style w:type="character" w:customStyle="1" w:styleId="Blockquote-NormalChar">
    <w:name w:val="Blockquote - Normal Char"/>
    <w:basedOn w:val="DefaultParagraphFont"/>
    <w:link w:val="Blockquote-Normal"/>
    <w:rsid w:val="00787A98"/>
    <w:rPr>
      <w:sz w:val="24"/>
      <w:szCs w:val="24"/>
      <w:lang w:bidi="en-US"/>
    </w:rPr>
  </w:style>
  <w:style w:type="paragraph" w:customStyle="1" w:styleId="SmallFont">
    <w:name w:val="Small Font"/>
    <w:basedOn w:val="Normal"/>
    <w:link w:val="SmallFontChar"/>
    <w:qFormat/>
    <w:rsid w:val="00787A98"/>
    <w:rPr>
      <w:sz w:val="20"/>
    </w:rPr>
  </w:style>
  <w:style w:type="character" w:customStyle="1" w:styleId="SmallFontChar">
    <w:name w:val="Small Font Char"/>
    <w:basedOn w:val="DefaultParagraphFont"/>
    <w:link w:val="SmallFont"/>
    <w:rsid w:val="00787A98"/>
    <w:rPr>
      <w:szCs w:val="24"/>
      <w:lang w:bidi="en-US"/>
    </w:rPr>
  </w:style>
  <w:style w:type="character" w:customStyle="1" w:styleId="Heading1Char">
    <w:name w:val="Heading 1 Char"/>
    <w:basedOn w:val="DefaultParagraphFont"/>
    <w:link w:val="Heading1"/>
    <w:uiPriority w:val="2"/>
    <w:rsid w:val="00787A98"/>
    <w:rPr>
      <w:rFonts w:cs="Arial"/>
      <w:b/>
      <w:bCs/>
      <w:kern w:val="32"/>
      <w:sz w:val="28"/>
      <w:szCs w:val="32"/>
    </w:rPr>
  </w:style>
  <w:style w:type="character" w:customStyle="1" w:styleId="Heading2Char">
    <w:name w:val="Heading 2 Char"/>
    <w:basedOn w:val="DefaultParagraphFont"/>
    <w:link w:val="Heading2"/>
    <w:uiPriority w:val="3"/>
    <w:rsid w:val="00787A98"/>
    <w:rPr>
      <w:b/>
      <w:bCs/>
      <w:iCs/>
      <w:sz w:val="28"/>
      <w:szCs w:val="28"/>
    </w:rPr>
  </w:style>
  <w:style w:type="character" w:customStyle="1" w:styleId="Heading3Char">
    <w:name w:val="Heading 3 Char"/>
    <w:basedOn w:val="DefaultParagraphFont"/>
    <w:link w:val="Heading3"/>
    <w:uiPriority w:val="4"/>
    <w:rsid w:val="00787A98"/>
    <w:rPr>
      <w:b/>
      <w:bCs/>
      <w:sz w:val="24"/>
      <w:szCs w:val="26"/>
    </w:rPr>
  </w:style>
  <w:style w:type="character" w:customStyle="1" w:styleId="Heading7Char">
    <w:name w:val="Heading 7 Char"/>
    <w:basedOn w:val="DefaultParagraphFont"/>
    <w:link w:val="Heading7"/>
    <w:uiPriority w:val="9"/>
    <w:semiHidden/>
    <w:rsid w:val="00787A98"/>
    <w:rPr>
      <w:rFonts w:ascii="Calibri" w:hAnsi="Calibri"/>
      <w:sz w:val="24"/>
      <w:szCs w:val="24"/>
    </w:rPr>
  </w:style>
  <w:style w:type="character" w:customStyle="1" w:styleId="Heading8Char">
    <w:name w:val="Heading 8 Char"/>
    <w:basedOn w:val="DefaultParagraphFont"/>
    <w:link w:val="Heading8"/>
    <w:uiPriority w:val="9"/>
    <w:semiHidden/>
    <w:rsid w:val="00787A98"/>
    <w:rPr>
      <w:rFonts w:ascii="Calibri" w:hAnsi="Calibri"/>
      <w:i/>
      <w:iCs/>
      <w:sz w:val="24"/>
      <w:szCs w:val="24"/>
    </w:rPr>
  </w:style>
  <w:style w:type="character" w:customStyle="1" w:styleId="Heading9Char">
    <w:name w:val="Heading 9 Char"/>
    <w:basedOn w:val="DefaultParagraphFont"/>
    <w:link w:val="Heading9"/>
    <w:uiPriority w:val="9"/>
    <w:semiHidden/>
    <w:rsid w:val="00787A98"/>
    <w:rPr>
      <w:rFonts w:ascii="Cambria" w:hAnsi="Cambria"/>
    </w:rPr>
  </w:style>
  <w:style w:type="paragraph" w:styleId="TOCHeading">
    <w:name w:val="TOC Heading"/>
    <w:basedOn w:val="Heading1"/>
    <w:next w:val="Normal"/>
    <w:uiPriority w:val="39"/>
    <w:semiHidden/>
    <w:qFormat/>
    <w:rsid w:val="00787A98"/>
    <w:pPr>
      <w:outlineLvl w:val="9"/>
    </w:pPr>
    <w:rPr>
      <w:rFonts w:cs="Times New Roman"/>
      <w:lang w:bidi="en-US"/>
    </w:rPr>
  </w:style>
  <w:style w:type="paragraph" w:styleId="Footer">
    <w:name w:val="footer"/>
    <w:basedOn w:val="Normal"/>
    <w:link w:val="FooterChar"/>
    <w:uiPriority w:val="99"/>
    <w:unhideWhenUsed/>
    <w:rsid w:val="008B3439"/>
    <w:pPr>
      <w:tabs>
        <w:tab w:val="center" w:pos="4680"/>
        <w:tab w:val="right" w:pos="9360"/>
      </w:tabs>
    </w:pPr>
  </w:style>
  <w:style w:type="character" w:customStyle="1" w:styleId="FooterChar">
    <w:name w:val="Footer Char"/>
    <w:basedOn w:val="DefaultParagraphFont"/>
    <w:link w:val="Footer"/>
    <w:uiPriority w:val="99"/>
    <w:rsid w:val="008B3439"/>
    <w:rPr>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A98"/>
    <w:rPr>
      <w:sz w:val="24"/>
      <w:szCs w:val="24"/>
      <w:lang w:bidi="en-US"/>
    </w:rPr>
  </w:style>
  <w:style w:type="paragraph" w:styleId="Heading1">
    <w:name w:val="heading 1"/>
    <w:basedOn w:val="Normal"/>
    <w:next w:val="Normal"/>
    <w:link w:val="Heading1Char"/>
    <w:uiPriority w:val="2"/>
    <w:qFormat/>
    <w:rsid w:val="00787A98"/>
    <w:pPr>
      <w:keepNext/>
      <w:jc w:val="center"/>
      <w:outlineLvl w:val="0"/>
    </w:pPr>
    <w:rPr>
      <w:rFonts w:cs="Arial"/>
      <w:b/>
      <w:bCs/>
      <w:kern w:val="32"/>
      <w:sz w:val="28"/>
      <w:szCs w:val="32"/>
      <w:lang w:bidi="ar-SA"/>
    </w:rPr>
  </w:style>
  <w:style w:type="paragraph" w:styleId="Heading2">
    <w:name w:val="heading 2"/>
    <w:basedOn w:val="Normal"/>
    <w:next w:val="Normal"/>
    <w:link w:val="Heading2Char"/>
    <w:uiPriority w:val="3"/>
    <w:qFormat/>
    <w:rsid w:val="00787A98"/>
    <w:pPr>
      <w:keepNext/>
      <w:outlineLvl w:val="1"/>
    </w:pPr>
    <w:rPr>
      <w:b/>
      <w:bCs/>
      <w:iCs/>
      <w:sz w:val="28"/>
      <w:szCs w:val="28"/>
      <w:lang w:bidi="ar-SA"/>
    </w:rPr>
  </w:style>
  <w:style w:type="paragraph" w:styleId="Heading3">
    <w:name w:val="heading 3"/>
    <w:basedOn w:val="Normal"/>
    <w:next w:val="Normal"/>
    <w:link w:val="Heading3Char"/>
    <w:uiPriority w:val="4"/>
    <w:qFormat/>
    <w:rsid w:val="00787A98"/>
    <w:pPr>
      <w:keepNext/>
      <w:outlineLvl w:val="2"/>
    </w:pPr>
    <w:rPr>
      <w:b/>
      <w:bCs/>
      <w:szCs w:val="26"/>
      <w:lang w:bidi="ar-SA"/>
    </w:rPr>
  </w:style>
  <w:style w:type="paragraph" w:styleId="Heading4">
    <w:name w:val="heading 4"/>
    <w:basedOn w:val="Normal"/>
    <w:next w:val="Normal"/>
    <w:link w:val="Heading4Char"/>
    <w:uiPriority w:val="5"/>
    <w:qFormat/>
    <w:rsid w:val="00787A98"/>
    <w:pPr>
      <w:keepNext/>
      <w:outlineLvl w:val="3"/>
    </w:pPr>
    <w:rPr>
      <w:rFonts w:eastAsiaTheme="majorEastAsia" w:cstheme="majorBidi"/>
      <w:b/>
      <w:bCs/>
      <w:i/>
      <w:szCs w:val="28"/>
      <w:lang w:bidi="ar-SA"/>
    </w:rPr>
  </w:style>
  <w:style w:type="paragraph" w:styleId="Heading7">
    <w:name w:val="heading 7"/>
    <w:basedOn w:val="Normal"/>
    <w:next w:val="Normal"/>
    <w:link w:val="Heading7Char"/>
    <w:uiPriority w:val="9"/>
    <w:semiHidden/>
    <w:qFormat/>
    <w:rsid w:val="00787A98"/>
    <w:pPr>
      <w:spacing w:before="240" w:after="60"/>
      <w:outlineLvl w:val="6"/>
    </w:pPr>
    <w:rPr>
      <w:rFonts w:ascii="Calibri" w:hAnsi="Calibri"/>
      <w:lang w:bidi="ar-SA"/>
    </w:rPr>
  </w:style>
  <w:style w:type="paragraph" w:styleId="Heading8">
    <w:name w:val="heading 8"/>
    <w:basedOn w:val="Normal"/>
    <w:next w:val="Normal"/>
    <w:link w:val="Heading8Char"/>
    <w:uiPriority w:val="9"/>
    <w:semiHidden/>
    <w:qFormat/>
    <w:rsid w:val="00787A98"/>
    <w:pPr>
      <w:spacing w:before="240" w:after="60"/>
      <w:outlineLvl w:val="7"/>
    </w:pPr>
    <w:rPr>
      <w:rFonts w:ascii="Calibri" w:hAnsi="Calibri"/>
      <w:i/>
      <w:iCs/>
      <w:lang w:bidi="ar-SA"/>
    </w:rPr>
  </w:style>
  <w:style w:type="paragraph" w:styleId="Heading9">
    <w:name w:val="heading 9"/>
    <w:basedOn w:val="Normal"/>
    <w:next w:val="Normal"/>
    <w:link w:val="Heading9Char"/>
    <w:uiPriority w:val="9"/>
    <w:semiHidden/>
    <w:qFormat/>
    <w:rsid w:val="00787A98"/>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5E3A"/>
    <w:rPr>
      <w:rFonts w:eastAsiaTheme="minorEastAsia"/>
      <w:sz w:val="20"/>
      <w:szCs w:val="20"/>
    </w:rPr>
  </w:style>
  <w:style w:type="character" w:customStyle="1" w:styleId="CommentTextChar">
    <w:name w:val="Comment Text Char"/>
    <w:basedOn w:val="DefaultParagraphFont"/>
    <w:link w:val="CommentText"/>
    <w:uiPriority w:val="99"/>
    <w:semiHidden/>
    <w:rsid w:val="00D55E3A"/>
    <w:rPr>
      <w:rFonts w:eastAsiaTheme="minorEastAsia"/>
      <w:sz w:val="20"/>
      <w:szCs w:val="20"/>
    </w:rPr>
  </w:style>
  <w:style w:type="paragraph" w:styleId="Header">
    <w:name w:val="header"/>
    <w:basedOn w:val="Normal"/>
    <w:link w:val="HeaderChar"/>
    <w:uiPriority w:val="99"/>
    <w:unhideWhenUsed/>
    <w:rsid w:val="00D55E3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55E3A"/>
    <w:rPr>
      <w:rFonts w:eastAsiaTheme="minorEastAsia"/>
    </w:rPr>
  </w:style>
  <w:style w:type="character" w:styleId="CommentReference">
    <w:name w:val="annotation reference"/>
    <w:basedOn w:val="DefaultParagraphFont"/>
    <w:uiPriority w:val="99"/>
    <w:semiHidden/>
    <w:unhideWhenUsed/>
    <w:rsid w:val="00D55E3A"/>
    <w:rPr>
      <w:sz w:val="16"/>
      <w:szCs w:val="16"/>
    </w:rPr>
  </w:style>
  <w:style w:type="paragraph" w:styleId="BalloonText">
    <w:name w:val="Balloon Text"/>
    <w:basedOn w:val="Normal"/>
    <w:link w:val="BalloonTextChar"/>
    <w:uiPriority w:val="99"/>
    <w:semiHidden/>
    <w:unhideWhenUsed/>
    <w:rsid w:val="00D55E3A"/>
    <w:rPr>
      <w:rFonts w:ascii="Tahoma" w:hAnsi="Tahoma" w:cs="Tahoma"/>
      <w:sz w:val="16"/>
      <w:szCs w:val="16"/>
    </w:rPr>
  </w:style>
  <w:style w:type="character" w:customStyle="1" w:styleId="BalloonTextChar">
    <w:name w:val="Balloon Text Char"/>
    <w:basedOn w:val="DefaultParagraphFont"/>
    <w:link w:val="BalloonText"/>
    <w:uiPriority w:val="99"/>
    <w:semiHidden/>
    <w:rsid w:val="00D55E3A"/>
    <w:rPr>
      <w:rFonts w:ascii="Tahoma" w:hAnsi="Tahoma" w:cs="Tahoma"/>
      <w:sz w:val="16"/>
      <w:szCs w:val="16"/>
    </w:rPr>
  </w:style>
  <w:style w:type="table" w:styleId="TableGrid">
    <w:name w:val="Table Grid"/>
    <w:basedOn w:val="TableNormal"/>
    <w:uiPriority w:val="59"/>
    <w:rsid w:val="00D55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F6D20"/>
    <w:rPr>
      <w:rFonts w:eastAsiaTheme="minorHAnsi"/>
      <w:b/>
      <w:bCs/>
    </w:rPr>
  </w:style>
  <w:style w:type="character" w:customStyle="1" w:styleId="CommentSubjectChar">
    <w:name w:val="Comment Subject Char"/>
    <w:basedOn w:val="CommentTextChar"/>
    <w:link w:val="CommentSubject"/>
    <w:uiPriority w:val="99"/>
    <w:semiHidden/>
    <w:rsid w:val="00BF6D20"/>
    <w:rPr>
      <w:rFonts w:eastAsiaTheme="minorEastAsia"/>
      <w:b/>
      <w:bCs/>
      <w:sz w:val="20"/>
      <w:szCs w:val="20"/>
    </w:rPr>
  </w:style>
  <w:style w:type="paragraph" w:customStyle="1" w:styleId="Biblio">
    <w:name w:val="Biblio"/>
    <w:basedOn w:val="Normal"/>
    <w:link w:val="BiblioChar"/>
    <w:qFormat/>
    <w:rsid w:val="00787A98"/>
    <w:pPr>
      <w:spacing w:line="480" w:lineRule="auto"/>
      <w:ind w:left="720" w:hanging="720"/>
      <w:outlineLvl w:val="5"/>
    </w:pPr>
    <w:rPr>
      <w:rFonts w:cs="Arial"/>
      <w:lang w:eastAsia="zh-CN"/>
    </w:rPr>
  </w:style>
  <w:style w:type="character" w:customStyle="1" w:styleId="BiblioChar">
    <w:name w:val="Biblio Char"/>
    <w:basedOn w:val="DefaultParagraphFont"/>
    <w:link w:val="Biblio"/>
    <w:rsid w:val="00787A98"/>
    <w:rPr>
      <w:rFonts w:cs="Arial"/>
      <w:sz w:val="24"/>
      <w:szCs w:val="24"/>
      <w:lang w:eastAsia="zh-CN" w:bidi="en-US"/>
    </w:rPr>
  </w:style>
  <w:style w:type="paragraph" w:customStyle="1" w:styleId="Heading4-Indent">
    <w:name w:val="Heading 4 - Indent"/>
    <w:basedOn w:val="Heading4"/>
    <w:link w:val="Heading4-IndentChar"/>
    <w:uiPriority w:val="5"/>
    <w:qFormat/>
    <w:rsid w:val="00787A98"/>
    <w:pPr>
      <w:ind w:left="720"/>
    </w:pPr>
  </w:style>
  <w:style w:type="character" w:customStyle="1" w:styleId="Heading4-IndentChar">
    <w:name w:val="Heading 4 - Indent Char"/>
    <w:basedOn w:val="Heading4Char"/>
    <w:link w:val="Heading4-Indent"/>
    <w:uiPriority w:val="5"/>
    <w:rsid w:val="00787A98"/>
    <w:rPr>
      <w:rFonts w:eastAsiaTheme="majorEastAsia" w:cstheme="majorBidi"/>
      <w:b/>
      <w:bCs/>
      <w:i/>
      <w:sz w:val="24"/>
      <w:szCs w:val="28"/>
    </w:rPr>
  </w:style>
  <w:style w:type="character" w:customStyle="1" w:styleId="Heading4Char">
    <w:name w:val="Heading 4 Char"/>
    <w:basedOn w:val="DefaultParagraphFont"/>
    <w:link w:val="Heading4"/>
    <w:uiPriority w:val="5"/>
    <w:rsid w:val="00787A98"/>
    <w:rPr>
      <w:rFonts w:eastAsiaTheme="majorEastAsia" w:cstheme="majorBidi"/>
      <w:b/>
      <w:bCs/>
      <w:i/>
      <w:sz w:val="24"/>
      <w:szCs w:val="28"/>
    </w:rPr>
  </w:style>
  <w:style w:type="paragraph" w:customStyle="1" w:styleId="Blockquote-Normal">
    <w:name w:val="Blockquote - Normal"/>
    <w:basedOn w:val="Normal"/>
    <w:link w:val="Blockquote-NormalChar"/>
    <w:qFormat/>
    <w:rsid w:val="00787A98"/>
    <w:pPr>
      <w:ind w:left="720"/>
    </w:pPr>
  </w:style>
  <w:style w:type="character" w:customStyle="1" w:styleId="Blockquote-NormalChar">
    <w:name w:val="Blockquote - Normal Char"/>
    <w:basedOn w:val="DefaultParagraphFont"/>
    <w:link w:val="Blockquote-Normal"/>
    <w:rsid w:val="00787A98"/>
    <w:rPr>
      <w:sz w:val="24"/>
      <w:szCs w:val="24"/>
      <w:lang w:bidi="en-US"/>
    </w:rPr>
  </w:style>
  <w:style w:type="paragraph" w:customStyle="1" w:styleId="SmallFont">
    <w:name w:val="Small Font"/>
    <w:basedOn w:val="Normal"/>
    <w:link w:val="SmallFontChar"/>
    <w:qFormat/>
    <w:rsid w:val="00787A98"/>
    <w:rPr>
      <w:sz w:val="20"/>
    </w:rPr>
  </w:style>
  <w:style w:type="character" w:customStyle="1" w:styleId="SmallFontChar">
    <w:name w:val="Small Font Char"/>
    <w:basedOn w:val="DefaultParagraphFont"/>
    <w:link w:val="SmallFont"/>
    <w:rsid w:val="00787A98"/>
    <w:rPr>
      <w:szCs w:val="24"/>
      <w:lang w:bidi="en-US"/>
    </w:rPr>
  </w:style>
  <w:style w:type="character" w:customStyle="1" w:styleId="Heading1Char">
    <w:name w:val="Heading 1 Char"/>
    <w:basedOn w:val="DefaultParagraphFont"/>
    <w:link w:val="Heading1"/>
    <w:uiPriority w:val="2"/>
    <w:rsid w:val="00787A98"/>
    <w:rPr>
      <w:rFonts w:cs="Arial"/>
      <w:b/>
      <w:bCs/>
      <w:kern w:val="32"/>
      <w:sz w:val="28"/>
      <w:szCs w:val="32"/>
    </w:rPr>
  </w:style>
  <w:style w:type="character" w:customStyle="1" w:styleId="Heading2Char">
    <w:name w:val="Heading 2 Char"/>
    <w:basedOn w:val="DefaultParagraphFont"/>
    <w:link w:val="Heading2"/>
    <w:uiPriority w:val="3"/>
    <w:rsid w:val="00787A98"/>
    <w:rPr>
      <w:b/>
      <w:bCs/>
      <w:iCs/>
      <w:sz w:val="28"/>
      <w:szCs w:val="28"/>
    </w:rPr>
  </w:style>
  <w:style w:type="character" w:customStyle="1" w:styleId="Heading3Char">
    <w:name w:val="Heading 3 Char"/>
    <w:basedOn w:val="DefaultParagraphFont"/>
    <w:link w:val="Heading3"/>
    <w:uiPriority w:val="4"/>
    <w:rsid w:val="00787A98"/>
    <w:rPr>
      <w:b/>
      <w:bCs/>
      <w:sz w:val="24"/>
      <w:szCs w:val="26"/>
    </w:rPr>
  </w:style>
  <w:style w:type="character" w:customStyle="1" w:styleId="Heading7Char">
    <w:name w:val="Heading 7 Char"/>
    <w:basedOn w:val="DefaultParagraphFont"/>
    <w:link w:val="Heading7"/>
    <w:uiPriority w:val="9"/>
    <w:semiHidden/>
    <w:rsid w:val="00787A98"/>
    <w:rPr>
      <w:rFonts w:ascii="Calibri" w:hAnsi="Calibri"/>
      <w:sz w:val="24"/>
      <w:szCs w:val="24"/>
    </w:rPr>
  </w:style>
  <w:style w:type="character" w:customStyle="1" w:styleId="Heading8Char">
    <w:name w:val="Heading 8 Char"/>
    <w:basedOn w:val="DefaultParagraphFont"/>
    <w:link w:val="Heading8"/>
    <w:uiPriority w:val="9"/>
    <w:semiHidden/>
    <w:rsid w:val="00787A98"/>
    <w:rPr>
      <w:rFonts w:ascii="Calibri" w:hAnsi="Calibri"/>
      <w:i/>
      <w:iCs/>
      <w:sz w:val="24"/>
      <w:szCs w:val="24"/>
    </w:rPr>
  </w:style>
  <w:style w:type="character" w:customStyle="1" w:styleId="Heading9Char">
    <w:name w:val="Heading 9 Char"/>
    <w:basedOn w:val="DefaultParagraphFont"/>
    <w:link w:val="Heading9"/>
    <w:uiPriority w:val="9"/>
    <w:semiHidden/>
    <w:rsid w:val="00787A98"/>
    <w:rPr>
      <w:rFonts w:ascii="Cambria" w:hAnsi="Cambria"/>
    </w:rPr>
  </w:style>
  <w:style w:type="paragraph" w:styleId="TOCHeading">
    <w:name w:val="TOC Heading"/>
    <w:basedOn w:val="Heading1"/>
    <w:next w:val="Normal"/>
    <w:uiPriority w:val="39"/>
    <w:semiHidden/>
    <w:qFormat/>
    <w:rsid w:val="00787A98"/>
    <w:pPr>
      <w:outlineLvl w:val="9"/>
    </w:pPr>
    <w:rPr>
      <w:rFonts w:cs="Times New Roman"/>
      <w:lang w:bidi="en-US"/>
    </w:rPr>
  </w:style>
  <w:style w:type="paragraph" w:styleId="Footer">
    <w:name w:val="footer"/>
    <w:basedOn w:val="Normal"/>
    <w:link w:val="FooterChar"/>
    <w:uiPriority w:val="99"/>
    <w:unhideWhenUsed/>
    <w:rsid w:val="008B3439"/>
    <w:pPr>
      <w:tabs>
        <w:tab w:val="center" w:pos="4680"/>
        <w:tab w:val="right" w:pos="9360"/>
      </w:tabs>
    </w:pPr>
  </w:style>
  <w:style w:type="character" w:customStyle="1" w:styleId="FooterChar">
    <w:name w:val="Footer Char"/>
    <w:basedOn w:val="DefaultParagraphFont"/>
    <w:link w:val="Footer"/>
    <w:uiPriority w:val="99"/>
    <w:rsid w:val="008B343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367">
      <w:bodyDiv w:val="1"/>
      <w:marLeft w:val="0"/>
      <w:marRight w:val="0"/>
      <w:marTop w:val="0"/>
      <w:marBottom w:val="0"/>
      <w:divBdr>
        <w:top w:val="none" w:sz="0" w:space="0" w:color="auto"/>
        <w:left w:val="none" w:sz="0" w:space="0" w:color="auto"/>
        <w:bottom w:val="none" w:sz="0" w:space="0" w:color="auto"/>
        <w:right w:val="none" w:sz="0" w:space="0" w:color="auto"/>
      </w:divBdr>
    </w:div>
    <w:div w:id="9749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CE7088BA5854B86307AE4240A84F2" ma:contentTypeVersion="2" ma:contentTypeDescription="Create a new document." ma:contentTypeScope="" ma:versionID="2d0d8ea895c2aabad9111489f76b2a40">
  <xsd:schema xmlns:xsd="http://www.w3.org/2001/XMLSchema" xmlns:xs="http://www.w3.org/2001/XMLSchema" xmlns:p="http://schemas.microsoft.com/office/2006/metadata/properties" xmlns:ns2="http://schemas.microsoft.com/sharepoint/v4" targetNamespace="http://schemas.microsoft.com/office/2006/metadata/properties" ma:root="true" ma:fieldsID="853f918d9f8f74f01fff476404650b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92DCD-BF90-4CF5-9FC0-6338363B88A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C5F3961-038A-4CFD-B0D6-8DC60F5B24FD}">
  <ds:schemaRefs>
    <ds:schemaRef ds:uri="http://schemas.microsoft.com/sharepoint/v3/contenttype/forms"/>
  </ds:schemaRefs>
</ds:datastoreItem>
</file>

<file path=customXml/itemProps3.xml><?xml version="1.0" encoding="utf-8"?>
<ds:datastoreItem xmlns:ds="http://schemas.openxmlformats.org/officeDocument/2006/customXml" ds:itemID="{E1D68267-E11C-4938-B6D0-AEE6003E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Week 7 Assignment</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Assignment</dc:title>
  <dc:creator>Terry Hudgins</dc:creator>
  <cp:lastModifiedBy>Soumia Chraibi</cp:lastModifiedBy>
  <cp:revision>2</cp:revision>
  <dcterms:created xsi:type="dcterms:W3CDTF">2016-01-13T23:34:00Z</dcterms:created>
  <dcterms:modified xsi:type="dcterms:W3CDTF">2016-01-13T23:34:00Z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0x010100CF5CE7088BA5854B86307AE4240A84F2</vt:lpwstr>
  </property>
</Properties>
</file>