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E5E5E4"/>
        </w:rPr>
      </w:pP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E5E5E4"/>
        </w:rPr>
      </w:pPr>
      <w:r>
        <w:rPr>
          <w:noProof/>
        </w:rPr>
        <w:drawing>
          <wp:inline distT="0" distB="0" distL="0" distR="0" wp14:anchorId="3D4BFBFC" wp14:editId="096EF988">
            <wp:extent cx="5943600" cy="513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E5E5E4"/>
        </w:rPr>
      </w:pP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E5E5E4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E5E5E4"/>
        </w:rPr>
        <w:t>Review the Critic</w:t>
      </w:r>
      <w:r>
        <w:rPr>
          <w:rFonts w:ascii="Arial" w:hAnsi="Arial" w:cs="Arial"/>
          <w:color w:val="444444"/>
          <w:sz w:val="21"/>
          <w:szCs w:val="21"/>
          <w:shd w:val="clear" w:color="auto" w:fill="E5E5E4"/>
        </w:rPr>
        <w:t xml:space="preserve">al Thinking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E5E5E4"/>
        </w:rPr>
        <w:t xml:space="preserve">Activity 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  <w:shd w:val="clear" w:color="auto" w:fill="E5E5E4"/>
        </w:rPr>
        <w:t xml:space="preserve"> called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E5E5E4"/>
        </w:rPr>
        <w:t xml:space="preserve"> Which Approach is Best? Select a health care entity to focus on, this could be a clinic or hospital of 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E5E5E4"/>
        </w:rPr>
        <w:t>your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E5E5E4"/>
        </w:rPr>
        <w:t xml:space="preserve"> choosing. Review the debate that is discussed between Sandra and Juan and answer the following questions:</w:t>
      </w: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73B4510" wp14:editId="7EE8584D">
            <wp:extent cx="2714625" cy="2657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70872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If you were the supervisor of Sandra and Juan, how would you guide their discussion in determining the best improvement strategy?</w:t>
      </w: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As CEO of the health care entity of your choosing, what strategy would you choose to reduce the turn- around time for test results? Reduce patient complaints?</w:t>
      </w: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As CEO of the health care entity of your choosing, how would you explain the rationale for continual improvement to your management team, nurses, clinicians, doctors,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? Why is it important for all levels of the organization strive for continual improvement?</w:t>
      </w:r>
    </w:p>
    <w:p w:rsidR="001467B3" w:rsidRDefault="001467B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1467B3" w:rsidRDefault="001467B3"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Explain why total quality can be implemented in any business environment? How can it be utilized in health care?</w:t>
      </w:r>
    </w:p>
    <w:sectPr w:rsidR="0014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B3"/>
    <w:rsid w:val="001467B3"/>
    <w:rsid w:val="007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2015-08-14T03:55:00Z</dcterms:created>
  <dcterms:modified xsi:type="dcterms:W3CDTF">2015-08-14T04:06:00Z</dcterms:modified>
</cp:coreProperties>
</file>