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36" w:rsidRPr="00951036" w:rsidRDefault="006069D7" w:rsidP="0095103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Optional Reading</w:t>
      </w:r>
      <w:bookmarkStart w:id="0" w:name="_GoBack"/>
      <w:bookmarkEnd w:id="0"/>
    </w:p>
    <w:p w:rsidR="00951036" w:rsidRDefault="00951036" w:rsidP="00951036">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15" w:type="dxa"/>
        <w:tblBorders>
          <w:top w:val="single" w:sz="8" w:space="0" w:color="CCCCCC"/>
          <w:left w:val="single" w:sz="8" w:space="0" w:color="CCCCCC"/>
          <w:bottom w:val="single" w:sz="8" w:space="0" w:color="CCCCCC"/>
          <w:right w:val="single" w:sz="8" w:space="0" w:color="CCCCCC"/>
        </w:tblBorders>
        <w:tblCellMar>
          <w:left w:w="0" w:type="dxa"/>
          <w:right w:w="0" w:type="dxa"/>
        </w:tblCellMar>
        <w:tblLook w:val="04A0" w:firstRow="1" w:lastRow="0" w:firstColumn="1" w:lastColumn="0" w:noHBand="0" w:noVBand="1"/>
      </w:tblPr>
      <w:tblGrid>
        <w:gridCol w:w="9340"/>
      </w:tblGrid>
      <w:tr w:rsidR="006069D7" w:rsidRPr="006069D7" w:rsidTr="006069D7">
        <w:trPr>
          <w:tblCellSpacing w:w="15" w:type="dxa"/>
        </w:trPr>
        <w:tc>
          <w:tcPr>
            <w:tcW w:w="0" w:type="auto"/>
            <w:tcBorders>
              <w:top w:val="single" w:sz="8" w:space="0" w:color="CCCCCC"/>
              <w:left w:val="single" w:sz="8" w:space="0" w:color="CCCCCC"/>
              <w:bottom w:val="single" w:sz="8" w:space="0" w:color="CCCCCC"/>
              <w:right w:val="single" w:sz="8" w:space="0" w:color="CCCCCC"/>
            </w:tcBorders>
            <w:tcMar>
              <w:top w:w="150" w:type="dxa"/>
              <w:left w:w="150" w:type="dxa"/>
              <w:bottom w:w="150" w:type="dxa"/>
              <w:right w:w="150" w:type="dxa"/>
            </w:tcMar>
            <w:hideMark/>
          </w:tcPr>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hyperlink r:id="rId4" w:tooltip="Actions for Optional Reading: Investigator Class Action Lawsuits for Management Fraud" w:history="1">
              <w:r w:rsidRPr="006069D7">
                <w:rPr>
                  <w:rFonts w:ascii="Times New Roman" w:eastAsia="Times New Roman" w:hAnsi="Times New Roman" w:cs="Times New Roman"/>
                  <w:b/>
                  <w:bCs/>
                  <w:color w:val="0000FF"/>
                  <w:sz w:val="36"/>
                  <w:szCs w:val="36"/>
                  <w:u w:val="single"/>
                </w:rPr>
                <w:t xml:space="preserve">Investigator Class Action Lawsuits for Management Fraud </w:t>
              </w:r>
            </w:hyperlink>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article below is about investor class action lawsuits, and recoveries of damages for management fraud. And the attached file is a related brief in a Supreme Court case brought by institutional investors.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attached brief to the US Supreme court in the matter re Tellabs, was filed by institutions representing over 14 million workers, 6 million retirees, and managing over $2 trillion in assets for those individuals.  The institutional investors include: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New York State Common Retirement Fund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California State Teachers Retirement Fund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State of Wisconsin Investment Board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Los Angeles County Employees Retirement Association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The Teachers Retirement System of </w:t>
            </w:r>
            <w:proofErr w:type="spellStart"/>
            <w:r w:rsidRPr="006069D7">
              <w:rPr>
                <w:rFonts w:ascii="Times New Roman" w:eastAsia="Times New Roman" w:hAnsi="Times New Roman" w:cs="Times New Roman"/>
                <w:sz w:val="24"/>
                <w:szCs w:val="24"/>
              </w:rPr>
              <w:t>Lousiana</w:t>
            </w:r>
            <w:proofErr w:type="spellEnd"/>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Arkansas Teachers Retirement System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The </w:t>
            </w:r>
            <w:proofErr w:type="spellStart"/>
            <w:r w:rsidRPr="006069D7">
              <w:rPr>
                <w:rFonts w:ascii="Times New Roman" w:eastAsia="Times New Roman" w:hAnsi="Times New Roman" w:cs="Times New Roman"/>
                <w:sz w:val="24"/>
                <w:szCs w:val="24"/>
              </w:rPr>
              <w:t>Sacromento</w:t>
            </w:r>
            <w:proofErr w:type="spellEnd"/>
            <w:r w:rsidRPr="006069D7">
              <w:rPr>
                <w:rFonts w:ascii="Times New Roman" w:eastAsia="Times New Roman" w:hAnsi="Times New Roman" w:cs="Times New Roman"/>
                <w:sz w:val="24"/>
                <w:szCs w:val="24"/>
              </w:rPr>
              <w:t xml:space="preserve"> County Employees Retirement System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The </w:t>
            </w:r>
            <w:proofErr w:type="spellStart"/>
            <w:r w:rsidRPr="006069D7">
              <w:rPr>
                <w:rFonts w:ascii="Times New Roman" w:eastAsia="Times New Roman" w:hAnsi="Times New Roman" w:cs="Times New Roman"/>
                <w:sz w:val="24"/>
                <w:szCs w:val="24"/>
              </w:rPr>
              <w:t>Lousiana</w:t>
            </w:r>
            <w:proofErr w:type="spellEnd"/>
            <w:r w:rsidRPr="006069D7">
              <w:rPr>
                <w:rFonts w:ascii="Times New Roman" w:eastAsia="Times New Roman" w:hAnsi="Times New Roman" w:cs="Times New Roman"/>
                <w:sz w:val="24"/>
                <w:szCs w:val="24"/>
              </w:rPr>
              <w:t xml:space="preserve"> Sheriffs Pension and Relief Fund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Jacksonville Police and Fire Pension Fund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Anchorage Police and Fire Retirement System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Government of Guam Retirement System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The key issue before the court is how to interpret the Private Securities Litigation Reform Act of 1995 (PSLRA) - in essence how high is the hurdle or bar that U as an investor must jump over before U can file a claim.  The attached brief is most interesting in that on page 26, it notes that twelve times in the past, the SEC has taken a position with respect to this issue.  However, the current SEC, for the first time, is now reversing itself and taking a position that the hurdle for U as an investor should be higher than that the SEC has supported in the past.  Clearly at the current time, the SEC is not as investor friendly as it has </w:t>
            </w:r>
            <w:r w:rsidRPr="006069D7">
              <w:rPr>
                <w:rFonts w:ascii="Times New Roman" w:eastAsia="Times New Roman" w:hAnsi="Times New Roman" w:cs="Times New Roman"/>
                <w:sz w:val="24"/>
                <w:szCs w:val="24"/>
              </w:rPr>
              <w:lastRenderedPageBreak/>
              <w:t>been in the past in this respect.  As the attached brief notes, the accounting profession and large audit firms are also once again weighing in against investors on this issue.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This is equally interesting given the recoveries the current SEC has made for investors as compared to recoveries that shareholders as lead plaintiffs have won using their own attorney's as noted in the cases below.  Clearly the SEC is not even remotely as successful in recovering losses suffered by investors in major financial frauds, as are the investors themselves pursuing the cases as lead plaintiffs with their own attorneys (and some would argue nor should they be):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Multiple of Shareholder</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CASE                        Shareholder Recoveries                SEC Recoveries    Recovery vs SEC</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Enron                            $7.161 Billion                                $424.84 million                16.86 times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WorldCom                    $6.156 Billion                                  $750 million                       8.21 times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AOL Time Warner           $2.65 Billion                                    $308 million                     8.60 times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Lucent                            $667 million                                    $25 million                     26.68 times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Bristol Myers                  $574 million                                    $150 million                     3.83 times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This raises the question for shareholders, who would you rather have representing you in court? The SEC or securities class action lawyers?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tc>
      </w:tr>
      <w:tr w:rsidR="006069D7" w:rsidRPr="006069D7" w:rsidTr="006069D7">
        <w:trPr>
          <w:tblCellSpacing w:w="15" w:type="dxa"/>
        </w:trPr>
        <w:tc>
          <w:tcPr>
            <w:tcW w:w="0" w:type="auto"/>
            <w:tcBorders>
              <w:top w:val="single" w:sz="8" w:space="0" w:color="CCCCCC"/>
              <w:left w:val="single" w:sz="8" w:space="0" w:color="CCCCCC"/>
              <w:bottom w:val="single" w:sz="8" w:space="0" w:color="CCCCCC"/>
              <w:right w:val="single" w:sz="8" w:space="0" w:color="CCCCCC"/>
            </w:tcBorders>
            <w:tcMar>
              <w:top w:w="150" w:type="dxa"/>
              <w:left w:w="150" w:type="dxa"/>
              <w:bottom w:w="150" w:type="dxa"/>
              <w:right w:w="150" w:type="dxa"/>
            </w:tcMar>
            <w:hideMark/>
          </w:tcPr>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hyperlink r:id="rId5" w:tooltip="Actions for Optional Reading: Update on Audits and Auditors" w:history="1">
              <w:r w:rsidRPr="006069D7">
                <w:rPr>
                  <w:rFonts w:ascii="Times New Roman" w:eastAsia="Times New Roman" w:hAnsi="Times New Roman" w:cs="Times New Roman"/>
                  <w:b/>
                  <w:bCs/>
                  <w:color w:val="0000FF"/>
                  <w:sz w:val="36"/>
                  <w:szCs w:val="36"/>
                  <w:u w:val="single"/>
                </w:rPr>
                <w:t xml:space="preserve">Update on Audits and Auditors </w:t>
              </w:r>
            </w:hyperlink>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newest publication of the Center for Audit Quality (CAQ) is the In-Depth Guide to Public Company Auditing.</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booklet is designed for investors and others interested in understanding the external audit process for public companies and role the audit plays in our capital markets.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CAQ’s continuing dialogue with individual investors indicates that many in the marketplace do not fully understand the scope of the audit process and the responsibilities placed on public company auditors. We hope the In-Depth Guide to Public Company Auditing will help to bridge that information gap.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Guide can be accessed at </w:t>
            </w:r>
            <w:hyperlink r:id="rId6" w:tgtFrame="_blank" w:history="1">
              <w:r w:rsidRPr="006069D7">
                <w:rPr>
                  <w:rFonts w:ascii="Calibri" w:eastAsia="Times New Roman" w:hAnsi="Calibri" w:cs="Times New Roman"/>
                  <w:color w:val="0000FF"/>
                  <w:u w:val="single"/>
                </w:rPr>
                <w:t>http://www.thecaq.org/publications/In-Depth_GuidetoPublicCompanyAuditing.pdf.</w:t>
              </w:r>
            </w:hyperlink>
            <w:r w:rsidRPr="006069D7">
              <w:rPr>
                <w:rFonts w:ascii="Times New Roman" w:eastAsia="Times New Roman" w:hAnsi="Times New Roman" w:cs="Times New Roman"/>
                <w:sz w:val="24"/>
                <w:szCs w:val="24"/>
              </w:rPr>
              <w:t> </w:t>
            </w:r>
          </w:p>
        </w:tc>
      </w:tr>
      <w:tr w:rsidR="006069D7" w:rsidRPr="006069D7" w:rsidTr="006069D7">
        <w:trPr>
          <w:tblCellSpacing w:w="15" w:type="dxa"/>
        </w:trPr>
        <w:tc>
          <w:tcPr>
            <w:tcW w:w="0" w:type="auto"/>
            <w:tcBorders>
              <w:top w:val="single" w:sz="8" w:space="0" w:color="CCCCCC"/>
              <w:left w:val="single" w:sz="8" w:space="0" w:color="CCCCCC"/>
              <w:bottom w:val="single" w:sz="8" w:space="0" w:color="CCCCCC"/>
              <w:right w:val="single" w:sz="8" w:space="0" w:color="CCCCCC"/>
            </w:tcBorders>
            <w:tcMar>
              <w:top w:w="150" w:type="dxa"/>
              <w:left w:w="150" w:type="dxa"/>
              <w:bottom w:w="150" w:type="dxa"/>
              <w:right w:w="150" w:type="dxa"/>
            </w:tcMar>
            <w:hideMark/>
          </w:tcPr>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hyperlink r:id="rId7" w:tooltip="Actions for Optional Reading: It's Not Just the Corporations" w:history="1">
              <w:r w:rsidRPr="006069D7">
                <w:rPr>
                  <w:rFonts w:ascii="Times New Roman" w:eastAsia="Times New Roman" w:hAnsi="Times New Roman" w:cs="Times New Roman"/>
                  <w:color w:val="0000FF"/>
                  <w:sz w:val="36"/>
                  <w:szCs w:val="36"/>
                  <w:u w:val="single"/>
                </w:rPr>
                <w:t xml:space="preserve">It's Not Just the Corporations </w:t>
              </w:r>
            </w:hyperlink>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In viewing financial improprieties, we should understand the </w:t>
            </w:r>
            <w:proofErr w:type="spellStart"/>
            <w:r w:rsidRPr="006069D7">
              <w:rPr>
                <w:rFonts w:ascii="Times New Roman" w:eastAsia="Times New Roman" w:hAnsi="Times New Roman" w:cs="Times New Roman"/>
                <w:sz w:val="24"/>
                <w:szCs w:val="24"/>
              </w:rPr>
              <w:t>the</w:t>
            </w:r>
            <w:proofErr w:type="spellEnd"/>
            <w:r w:rsidRPr="006069D7">
              <w:rPr>
                <w:rFonts w:ascii="Times New Roman" w:eastAsia="Times New Roman" w:hAnsi="Times New Roman" w:cs="Times New Roman"/>
                <w:sz w:val="24"/>
                <w:szCs w:val="24"/>
              </w:rPr>
              <w:t xml:space="preserve"> problems go beyond corporations. There are serious problems in the public sector as well as the private sector.</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For example, here are some financial issues relating to our federal government. The federal government made at least $37 billion in overpayments in 2005. Current estimates are between $40 billion and $100 billion in annual overpayments. See below.</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Federal auditors are currently examining all federal programs. Thus far, 38% of all examined programs have</w:t>
            </w:r>
            <w:r w:rsidRPr="006069D7">
              <w:rPr>
                <w:rFonts w:ascii="Times New Roman" w:eastAsia="Times New Roman" w:hAnsi="Times New Roman" w:cs="Times New Roman"/>
                <w:sz w:val="24"/>
                <w:szCs w:val="24"/>
              </w:rPr>
              <w:br/>
              <w:t>failed to show any positive impact on the populations they serve. Yet lawmakers appropriated $154 billion to</w:t>
            </w:r>
            <w:r w:rsidRPr="006069D7">
              <w:rPr>
                <w:rFonts w:ascii="Times New Roman" w:eastAsia="Times New Roman" w:hAnsi="Times New Roman" w:cs="Times New Roman"/>
                <w:sz w:val="24"/>
                <w:szCs w:val="24"/>
              </w:rPr>
              <w:br/>
              <w:t>these programs in FY 2004.</w:t>
            </w:r>
            <w:r w:rsidRPr="006069D7">
              <w:rPr>
                <w:rFonts w:ascii="Times New Roman" w:eastAsia="Times New Roman" w:hAnsi="Times New Roman" w:cs="Times New Roman"/>
                <w:sz w:val="24"/>
                <w:szCs w:val="24"/>
              </w:rPr>
              <w:br/>
              <w:t>· Members of Congress have spent hundreds of thousands of taxpayer dollars supplying their offices with</w:t>
            </w:r>
            <w:r w:rsidRPr="006069D7">
              <w:rPr>
                <w:rFonts w:ascii="Times New Roman" w:eastAsia="Times New Roman" w:hAnsi="Times New Roman" w:cs="Times New Roman"/>
                <w:sz w:val="24"/>
                <w:szCs w:val="24"/>
              </w:rPr>
              <w:br/>
              <w:t>popcorn machines, plasma televisions, DVD equipment, ionic air fresheners, camcorders, and signature machines.</w:t>
            </w:r>
            <w:r w:rsidRPr="006069D7">
              <w:rPr>
                <w:rFonts w:ascii="Times New Roman" w:eastAsia="Times New Roman" w:hAnsi="Times New Roman" w:cs="Times New Roman"/>
                <w:sz w:val="24"/>
                <w:szCs w:val="24"/>
              </w:rPr>
              <w:br/>
              <w:t>· Lawmakers diverted $13 million from Hurricane Katrina relief spending to build a museum celebrating the Army</w:t>
            </w:r>
            <w:r w:rsidRPr="006069D7">
              <w:rPr>
                <w:rFonts w:ascii="Times New Roman" w:eastAsia="Times New Roman" w:hAnsi="Times New Roman" w:cs="Times New Roman"/>
                <w:sz w:val="24"/>
                <w:szCs w:val="24"/>
              </w:rPr>
              <w:br/>
              <w:t>Corps of Engineers—the agency partially responsible for the failed levees that flooded New Orleans.</w:t>
            </w:r>
            <w:r w:rsidRPr="006069D7">
              <w:rPr>
                <w:rFonts w:ascii="Times New Roman" w:eastAsia="Times New Roman" w:hAnsi="Times New Roman" w:cs="Times New Roman"/>
                <w:sz w:val="24"/>
                <w:szCs w:val="24"/>
              </w:rPr>
              <w:br/>
              <w:t>· The federal government cannot account for $24.5 billion spent in 2003.</w:t>
            </w:r>
            <w:r w:rsidRPr="006069D7">
              <w:rPr>
                <w:rFonts w:ascii="Times New Roman" w:eastAsia="Times New Roman" w:hAnsi="Times New Roman" w:cs="Times New Roman"/>
                <w:sz w:val="24"/>
                <w:szCs w:val="24"/>
              </w:rPr>
              <w:br/>
              <w:t>· The Defense Department wasted $100 million on unused flight tickets and never bothered to collect refunds even</w:t>
            </w:r>
            <w:r w:rsidRPr="006069D7">
              <w:rPr>
                <w:rFonts w:ascii="Times New Roman" w:eastAsia="Times New Roman" w:hAnsi="Times New Roman" w:cs="Times New Roman"/>
                <w:sz w:val="24"/>
                <w:szCs w:val="24"/>
              </w:rPr>
              <w:br/>
              <w:t>though the tickets were refundable.</w:t>
            </w:r>
            <w:r w:rsidRPr="006069D7">
              <w:rPr>
                <w:rFonts w:ascii="Times New Roman" w:eastAsia="Times New Roman" w:hAnsi="Times New Roman" w:cs="Times New Roman"/>
                <w:sz w:val="24"/>
                <w:szCs w:val="24"/>
              </w:rPr>
              <w:br/>
              <w:t xml:space="preserve">· Over one recent 18-month period, Air Force and Navy personnel used government-funded </w:t>
            </w:r>
            <w:r w:rsidRPr="006069D7">
              <w:rPr>
                <w:rFonts w:ascii="Times New Roman" w:eastAsia="Times New Roman" w:hAnsi="Times New Roman" w:cs="Times New Roman"/>
                <w:sz w:val="24"/>
                <w:szCs w:val="24"/>
              </w:rPr>
              <w:lastRenderedPageBreak/>
              <w:t>credit cards to charge</w:t>
            </w:r>
            <w:r w:rsidRPr="006069D7">
              <w:rPr>
                <w:rFonts w:ascii="Times New Roman" w:eastAsia="Times New Roman" w:hAnsi="Times New Roman" w:cs="Times New Roman"/>
                <w:sz w:val="24"/>
                <w:szCs w:val="24"/>
              </w:rPr>
              <w:br/>
              <w:t>at least $102,400 for admission to entertainment events, $48,250 for gambling, $69,300 for cruises, and $73,950</w:t>
            </w:r>
            <w:r w:rsidRPr="006069D7">
              <w:rPr>
                <w:rFonts w:ascii="Times New Roman" w:eastAsia="Times New Roman" w:hAnsi="Times New Roman" w:cs="Times New Roman"/>
                <w:sz w:val="24"/>
                <w:szCs w:val="24"/>
              </w:rPr>
              <w:br/>
              <w:t>for exotic dance clubs and prostitutes.</w:t>
            </w:r>
            <w:r w:rsidRPr="006069D7">
              <w:rPr>
                <w:rFonts w:ascii="Times New Roman" w:eastAsia="Times New Roman" w:hAnsi="Times New Roman" w:cs="Times New Roman"/>
                <w:sz w:val="24"/>
                <w:szCs w:val="24"/>
              </w:rPr>
              <w:br/>
              <w:t>· Congress recently gave Alaska Airlines $500,000 to paint a Chinook salmon on a Boeing 737.</w:t>
            </w:r>
            <w:r w:rsidRPr="006069D7">
              <w:rPr>
                <w:rFonts w:ascii="Times New Roman" w:eastAsia="Times New Roman" w:hAnsi="Times New Roman" w:cs="Times New Roman"/>
                <w:sz w:val="24"/>
                <w:szCs w:val="24"/>
              </w:rPr>
              <w:br/>
              <w:t>· Examples of wasteful duplication include: 342 economic development programs; 130 programs serving the</w:t>
            </w:r>
            <w:r w:rsidRPr="006069D7">
              <w:rPr>
                <w:rFonts w:ascii="Times New Roman" w:eastAsia="Times New Roman" w:hAnsi="Times New Roman" w:cs="Times New Roman"/>
                <w:sz w:val="24"/>
                <w:szCs w:val="24"/>
              </w:rPr>
              <w:br/>
              <w:t>disabled; 130 programs serving at-risk youth; 90 early childhood development programs; 75 programs funding</w:t>
            </w:r>
            <w:r w:rsidRPr="006069D7">
              <w:rPr>
                <w:rFonts w:ascii="Times New Roman" w:eastAsia="Times New Roman" w:hAnsi="Times New Roman" w:cs="Times New Roman"/>
                <w:sz w:val="24"/>
                <w:szCs w:val="24"/>
              </w:rPr>
              <w:br/>
              <w:t>international education, cultural, and training exchange activities; and 72 safe water programs.</w:t>
            </w:r>
            <w:r w:rsidRPr="006069D7">
              <w:rPr>
                <w:rFonts w:ascii="Times New Roman" w:eastAsia="Times New Roman" w:hAnsi="Times New Roman" w:cs="Times New Roman"/>
                <w:sz w:val="24"/>
                <w:szCs w:val="24"/>
              </w:rPr>
              <w:br/>
              <w:t>· Washington spends $60 billion annually on corporate welfare, versus $43 billion on homeland security.</w:t>
            </w:r>
            <w:r w:rsidRPr="006069D7">
              <w:rPr>
                <w:rFonts w:ascii="Times New Roman" w:eastAsia="Times New Roman" w:hAnsi="Times New Roman" w:cs="Times New Roman"/>
                <w:sz w:val="24"/>
                <w:szCs w:val="24"/>
              </w:rPr>
              <w:br/>
              <w:t>· The Congressional Budget Office published a “Budget Options” book identifying $140 billion in potential</w:t>
            </w:r>
            <w:r w:rsidRPr="006069D7">
              <w:rPr>
                <w:rFonts w:ascii="Times New Roman" w:eastAsia="Times New Roman" w:hAnsi="Times New Roman" w:cs="Times New Roman"/>
                <w:sz w:val="24"/>
                <w:szCs w:val="24"/>
              </w:rPr>
              <w:br/>
              <w:t>spending cuts.</w:t>
            </w:r>
            <w:r w:rsidRPr="006069D7">
              <w:rPr>
                <w:rFonts w:ascii="Times New Roman" w:eastAsia="Times New Roman" w:hAnsi="Times New Roman" w:cs="Times New Roman"/>
                <w:sz w:val="24"/>
                <w:szCs w:val="24"/>
              </w:rPr>
              <w:br/>
              <w:t>· The federal government spends $27 billion annually on special interest pork projects such as grants to the Rock</w:t>
            </w:r>
            <w:r w:rsidRPr="006069D7">
              <w:rPr>
                <w:rFonts w:ascii="Times New Roman" w:eastAsia="Times New Roman" w:hAnsi="Times New Roman" w:cs="Times New Roman"/>
                <w:sz w:val="24"/>
                <w:szCs w:val="24"/>
              </w:rPr>
              <w:br/>
              <w:t>and Roll Hall of Fame or funds to combat teenage “</w:t>
            </w:r>
            <w:proofErr w:type="spellStart"/>
            <w:r w:rsidRPr="006069D7">
              <w:rPr>
                <w:rFonts w:ascii="Times New Roman" w:eastAsia="Times New Roman" w:hAnsi="Times New Roman" w:cs="Times New Roman"/>
                <w:sz w:val="24"/>
                <w:szCs w:val="24"/>
              </w:rPr>
              <w:t>goth</w:t>
            </w:r>
            <w:proofErr w:type="spellEnd"/>
            <w:r w:rsidRPr="006069D7">
              <w:rPr>
                <w:rFonts w:ascii="Times New Roman" w:eastAsia="Times New Roman" w:hAnsi="Times New Roman" w:cs="Times New Roman"/>
                <w:sz w:val="24"/>
                <w:szCs w:val="24"/>
              </w:rPr>
              <w:t>” culture in Blue Springs, Missouri.</w:t>
            </w:r>
            <w:r w:rsidRPr="006069D7">
              <w:rPr>
                <w:rFonts w:ascii="Times New Roman" w:eastAsia="Times New Roman" w:hAnsi="Times New Roman" w:cs="Times New Roman"/>
                <w:sz w:val="24"/>
                <w:szCs w:val="24"/>
              </w:rPr>
              <w:br/>
              <w:t>· Washington spends tens of billions of dollars on failed and outdated programs such as the Rural Utilities Service</w:t>
            </w:r>
            <w:proofErr w:type="gramStart"/>
            <w:r w:rsidRPr="006069D7">
              <w:rPr>
                <w:rFonts w:ascii="Times New Roman" w:eastAsia="Times New Roman" w:hAnsi="Times New Roman" w:cs="Times New Roman"/>
                <w:sz w:val="24"/>
                <w:szCs w:val="24"/>
              </w:rPr>
              <w:t>,</w:t>
            </w:r>
            <w:proofErr w:type="gramEnd"/>
            <w:r w:rsidRPr="006069D7">
              <w:rPr>
                <w:rFonts w:ascii="Times New Roman" w:eastAsia="Times New Roman" w:hAnsi="Times New Roman" w:cs="Times New Roman"/>
                <w:sz w:val="24"/>
                <w:szCs w:val="24"/>
              </w:rPr>
              <w:br/>
              <w:t>the U.S. Geological Survey, and the Economic Development Association.</w:t>
            </w:r>
            <w:r w:rsidRPr="006069D7">
              <w:rPr>
                <w:rFonts w:ascii="Times New Roman" w:eastAsia="Times New Roman" w:hAnsi="Times New Roman" w:cs="Times New Roman"/>
                <w:sz w:val="24"/>
                <w:szCs w:val="24"/>
              </w:rPr>
              <w:br/>
              <w:t>· The federal government made at least $37 billion in overpayments in 2005. Current estimates are between $40</w:t>
            </w:r>
            <w:r w:rsidRPr="006069D7">
              <w:rPr>
                <w:rFonts w:ascii="Times New Roman" w:eastAsia="Times New Roman" w:hAnsi="Times New Roman" w:cs="Times New Roman"/>
                <w:sz w:val="24"/>
                <w:szCs w:val="24"/>
              </w:rPr>
              <w:br/>
              <w:t>billion and $100 billion in annual overpayments.</w:t>
            </w:r>
            <w:r w:rsidRPr="006069D7">
              <w:rPr>
                <w:rFonts w:ascii="Times New Roman" w:eastAsia="Times New Roman" w:hAnsi="Times New Roman" w:cs="Times New Roman"/>
                <w:sz w:val="24"/>
                <w:szCs w:val="24"/>
              </w:rPr>
              <w:br/>
              <w:t>· Massive farm subsidies also go to several members of Congress and celebrity “hobby farmers” such as David</w:t>
            </w:r>
            <w:r w:rsidRPr="006069D7">
              <w:rPr>
                <w:rFonts w:ascii="Times New Roman" w:eastAsia="Times New Roman" w:hAnsi="Times New Roman" w:cs="Times New Roman"/>
                <w:sz w:val="24"/>
                <w:szCs w:val="24"/>
              </w:rPr>
              <w:br/>
              <w:t>Rockefeller, Ted Turner, Scottie Pippen, and former Enron CEO Ken Lay.</w:t>
            </w:r>
            <w:r w:rsidRPr="006069D7">
              <w:rPr>
                <w:rFonts w:ascii="Times New Roman" w:eastAsia="Times New Roman" w:hAnsi="Times New Roman" w:cs="Times New Roman"/>
                <w:sz w:val="24"/>
                <w:szCs w:val="24"/>
              </w:rPr>
              <w:br/>
              <w:t>· Congressional investigators were able to receive $55,000 in federal student loan funding for a fictional college</w:t>
            </w:r>
            <w:r w:rsidRPr="006069D7">
              <w:rPr>
                <w:rFonts w:ascii="Times New Roman" w:eastAsia="Times New Roman" w:hAnsi="Times New Roman" w:cs="Times New Roman"/>
                <w:sz w:val="24"/>
                <w:szCs w:val="24"/>
              </w:rPr>
              <w:br/>
              <w:t>they created to test the Department of Education.</w:t>
            </w:r>
            <w:r w:rsidRPr="006069D7">
              <w:rPr>
                <w:rFonts w:ascii="Times New Roman" w:eastAsia="Times New Roman" w:hAnsi="Times New Roman" w:cs="Times New Roman"/>
                <w:sz w:val="24"/>
                <w:szCs w:val="24"/>
              </w:rPr>
              <w:br/>
              <w:t>· The Department of Housing and Urban Development’s $3.3 billion in overpayments in 2001 accounted for over</w:t>
            </w:r>
            <w:r w:rsidRPr="006069D7">
              <w:rPr>
                <w:rFonts w:ascii="Times New Roman" w:eastAsia="Times New Roman" w:hAnsi="Times New Roman" w:cs="Times New Roman"/>
                <w:sz w:val="24"/>
                <w:szCs w:val="24"/>
              </w:rPr>
              <w:br/>
              <w:t>10% of the department’s total budget.</w:t>
            </w:r>
            <w:r w:rsidRPr="006069D7">
              <w:rPr>
                <w:rFonts w:ascii="Times New Roman" w:eastAsia="Times New Roman" w:hAnsi="Times New Roman" w:cs="Times New Roman"/>
                <w:sz w:val="24"/>
                <w:szCs w:val="24"/>
              </w:rPr>
              <w:br/>
              <w:t>· The Advanced Technology Program spends $150 million annually subsidizing private businesses, and 40% of</w:t>
            </w:r>
            <w:r w:rsidRPr="006069D7">
              <w:rPr>
                <w:rFonts w:ascii="Times New Roman" w:eastAsia="Times New Roman" w:hAnsi="Times New Roman" w:cs="Times New Roman"/>
                <w:sz w:val="24"/>
                <w:szCs w:val="24"/>
              </w:rPr>
              <w:br/>
              <w:t>this goes to Fortune 500 companies.</w:t>
            </w:r>
            <w:r w:rsidRPr="006069D7">
              <w:rPr>
                <w:rFonts w:ascii="Times New Roman" w:eastAsia="Times New Roman" w:hAnsi="Times New Roman" w:cs="Times New Roman"/>
                <w:sz w:val="24"/>
                <w:szCs w:val="24"/>
              </w:rPr>
              <w:br/>
              <w:t>· The Conservation Reserve program pays farmers $2 billion annually to not farm their land.</w:t>
            </w:r>
            <w:r w:rsidRPr="006069D7">
              <w:rPr>
                <w:rFonts w:ascii="Times New Roman" w:eastAsia="Times New Roman" w:hAnsi="Times New Roman" w:cs="Times New Roman"/>
                <w:sz w:val="24"/>
                <w:szCs w:val="24"/>
              </w:rPr>
              <w:br/>
              <w:t>· The Department of Agriculture spends $12 billion to $30 billion annually on farm subsidies, the vast majority of</w:t>
            </w:r>
            <w:r w:rsidRPr="006069D7">
              <w:rPr>
                <w:rFonts w:ascii="Times New Roman" w:eastAsia="Times New Roman" w:hAnsi="Times New Roman" w:cs="Times New Roman"/>
                <w:sz w:val="24"/>
                <w:szCs w:val="24"/>
              </w:rPr>
              <w:br/>
              <w:t>which go to agribusinesses and farmers averaging $135,000 in annual income.</w:t>
            </w:r>
            <w:r w:rsidRPr="006069D7">
              <w:rPr>
                <w:rFonts w:ascii="Times New Roman" w:eastAsia="Times New Roman" w:hAnsi="Times New Roman" w:cs="Times New Roman"/>
                <w:sz w:val="24"/>
                <w:szCs w:val="24"/>
              </w:rPr>
              <w:br/>
              <w:t>· The Army Corps of Engineers has been accused of illegally manipulating data to justify expensive but</w:t>
            </w:r>
            <w:r w:rsidRPr="006069D7">
              <w:rPr>
                <w:rFonts w:ascii="Times New Roman" w:eastAsia="Times New Roman" w:hAnsi="Times New Roman" w:cs="Times New Roman"/>
                <w:sz w:val="24"/>
                <w:szCs w:val="24"/>
              </w:rPr>
              <w:br/>
              <w:t>unnecessary public works projects.</w:t>
            </w:r>
            <w:r w:rsidRPr="006069D7">
              <w:rPr>
                <w:rFonts w:ascii="Times New Roman" w:eastAsia="Times New Roman" w:hAnsi="Times New Roman" w:cs="Times New Roman"/>
                <w:sz w:val="24"/>
                <w:szCs w:val="24"/>
              </w:rPr>
              <w:br/>
            </w:r>
            <w:r w:rsidRPr="006069D7">
              <w:rPr>
                <w:rFonts w:ascii="Times New Roman" w:eastAsia="Times New Roman" w:hAnsi="Times New Roman" w:cs="Times New Roman"/>
                <w:sz w:val="24"/>
                <w:szCs w:val="24"/>
              </w:rPr>
              <w:lastRenderedPageBreak/>
              <w:t>· Food stamp overpayments cost $600 million annually.</w:t>
            </w:r>
            <w:r w:rsidRPr="006069D7">
              <w:rPr>
                <w:rFonts w:ascii="Times New Roman" w:eastAsia="Times New Roman" w:hAnsi="Times New Roman" w:cs="Times New Roman"/>
                <w:sz w:val="24"/>
                <w:szCs w:val="24"/>
              </w:rPr>
              <w:br/>
              <w:t>· School lunch program abuse costs $120 million annually.</w:t>
            </w:r>
            <w:r w:rsidRPr="006069D7">
              <w:rPr>
                <w:rFonts w:ascii="Times New Roman" w:eastAsia="Times New Roman" w:hAnsi="Times New Roman" w:cs="Times New Roman"/>
                <w:sz w:val="24"/>
                <w:szCs w:val="24"/>
              </w:rPr>
              <w:br/>
              <w:t>· Veterans’ program overpayments cost $800 million annually.</w:t>
            </w:r>
            <w:r w:rsidRPr="006069D7">
              <w:rPr>
                <w:rFonts w:ascii="Times New Roman" w:eastAsia="Times New Roman" w:hAnsi="Times New Roman" w:cs="Times New Roman"/>
                <w:sz w:val="24"/>
                <w:szCs w:val="24"/>
              </w:rPr>
              <w:br/>
              <w:t>· Earned Income Tax Credit (EITC) overpayments cost $9 billion annually.</w:t>
            </w:r>
            <w:r w:rsidRPr="006069D7">
              <w:rPr>
                <w:rFonts w:ascii="Times New Roman" w:eastAsia="Times New Roman" w:hAnsi="Times New Roman" w:cs="Times New Roman"/>
                <w:sz w:val="24"/>
                <w:szCs w:val="24"/>
              </w:rPr>
              <w:b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Sources: See Brian M. </w:t>
            </w:r>
            <w:proofErr w:type="spellStart"/>
            <w:r w:rsidRPr="006069D7">
              <w:rPr>
                <w:rFonts w:ascii="Times New Roman" w:eastAsia="Times New Roman" w:hAnsi="Times New Roman" w:cs="Times New Roman"/>
                <w:sz w:val="24"/>
                <w:szCs w:val="24"/>
              </w:rPr>
              <w:t>Riedl</w:t>
            </w:r>
            <w:proofErr w:type="spellEnd"/>
            <w:r w:rsidRPr="006069D7">
              <w:rPr>
                <w:rFonts w:ascii="Times New Roman" w:eastAsia="Times New Roman" w:hAnsi="Times New Roman" w:cs="Times New Roman"/>
                <w:sz w:val="24"/>
                <w:szCs w:val="24"/>
              </w:rPr>
              <w:t xml:space="preserve">, “How to Get Federal Spending Under Control,” Heritage Foundation Backgrounder No. 1733, March 10, 2004, at </w:t>
            </w:r>
            <w:hyperlink r:id="rId8" w:history="1">
              <w:r w:rsidRPr="006069D7">
                <w:rPr>
                  <w:rFonts w:ascii="Calibri" w:eastAsia="Times New Roman" w:hAnsi="Calibri" w:cs="Times New Roman"/>
                  <w:color w:val="0000FF"/>
                  <w:u w:val="single"/>
                </w:rPr>
                <w:t>http://www.heritage.org/Research/Budget/bg1733.cfm.</w:t>
              </w:r>
            </w:hyperlink>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hyperlink r:id="rId9" w:history="1">
              <w:r w:rsidRPr="006069D7">
                <w:rPr>
                  <w:rFonts w:ascii="Times New Roman" w:eastAsia="Times New Roman" w:hAnsi="Times New Roman" w:cs="Times New Roman"/>
                  <w:color w:val="0000FF"/>
                  <w:sz w:val="36"/>
                  <w:szCs w:val="36"/>
                  <w:u w:val="single"/>
                </w:rPr>
                <w:t>Enron Explained</w:t>
              </w:r>
            </w:hyperlink>
          </w:p>
          <w:tbl>
            <w:tblPr>
              <w:tblW w:w="0" w:type="auto"/>
              <w:tblCellMar>
                <w:left w:w="0" w:type="dxa"/>
                <w:right w:w="0" w:type="dxa"/>
              </w:tblCellMar>
              <w:tblLook w:val="04A0" w:firstRow="1" w:lastRow="0" w:firstColumn="1" w:lastColumn="0" w:noHBand="0" w:noVBand="1"/>
            </w:tblPr>
            <w:tblGrid>
              <w:gridCol w:w="5742"/>
            </w:tblGrid>
            <w:tr w:rsidR="006069D7" w:rsidRPr="006069D7">
              <w:tc>
                <w:tcPr>
                  <w:tcW w:w="0" w:type="auto"/>
                  <w:tcMar>
                    <w:top w:w="15" w:type="dxa"/>
                    <w:left w:w="15" w:type="dxa"/>
                    <w:bottom w:w="15" w:type="dxa"/>
                    <w:right w:w="15" w:type="dxa"/>
                  </w:tcMar>
                  <w:vAlign w:val="center"/>
                  <w:hideMark/>
                </w:tcPr>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OPEN SECRETS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by MALCOLM GLADWELL</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Enron, intelligence, and the perils of too much information.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tc>
            </w:tr>
          </w:tbl>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On the afternoon of October 23, 2006, Jeffrey Skilling sat at a table at the front of a federal courtroom in Houston, Texas. He was wearing a navy-blue suit and a tie. He was fifty-two years old, but looked older. Huddled around him were eight lawyers from his defense team. Outside, television-satellite trucks were parked up and down the block.</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“We are here this afternoon,” Judge Simeon Lake began, “for sentencing in United States of America versus Jeffrey K. Skilling, Criminal No. H-04-25.” He addressed the defendant directly: “Mr. Skilling, you may now make a statement and present any information in mitigation.”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Skilling stood up. Enron, the company he had built into an energy-trading leviathan, had collapsed into bankruptcy almost exactly five years before. In May, he had been convicted by a jury of fraud. Under a settlement agreement, almost everything he owned had been turned over to a fund to compensate former shareholders.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He spoke haltingly, stopping in mid-sentence. “In terms of remorse, Your Honor, I can’t imagine more remorse,” he said. He had “friends who have died, good men.” He was innocent—“innocent of every one of these charges.” He spoke for two or three minutes and sat down.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lastRenderedPageBreak/>
              <w:t xml:space="preserve">Judge Lake called on Anne </w:t>
            </w:r>
            <w:proofErr w:type="spellStart"/>
            <w:r w:rsidRPr="006069D7">
              <w:rPr>
                <w:rFonts w:ascii="Times New Roman" w:eastAsia="Times New Roman" w:hAnsi="Times New Roman" w:cs="Times New Roman"/>
                <w:sz w:val="24"/>
                <w:szCs w:val="24"/>
              </w:rPr>
              <w:t>Beliveaux</w:t>
            </w:r>
            <w:proofErr w:type="spellEnd"/>
            <w:r w:rsidRPr="006069D7">
              <w:rPr>
                <w:rFonts w:ascii="Times New Roman" w:eastAsia="Times New Roman" w:hAnsi="Times New Roman" w:cs="Times New Roman"/>
                <w:sz w:val="24"/>
                <w:szCs w:val="24"/>
              </w:rPr>
              <w:t>, who worked as the senior administrative assistant in Enron’s tax department for eighteen years. She was one of nine people who had asked to address the sentencing hearing.</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“How would you like to be facing living off of sixteen hundred dollars a month, and that is what I’m facing,” she said to Skilling. Her retirement savings had been wiped out by the Enron bankruptcy. “And, Mr. Skilling, that only is because of greed, nothing but greed. And you should be ashamed of yourself.”</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next witness said that Skilling had destroyed a good company, the third witness that Enron had been undone by the misconduct of its management; another lashed out at Skilling directly. “Mr. Skilling has proven to be a liar, a thief, and a drunk,” a woman named Dawn Powers Martin, a twenty-two-year veteran of Enron, told the court. “Mr. Skilling has cheated me and my daughter of our retirement dreams. Now it’s his time to be robbed of his freedom to walk the earth as a free man.” She turned to Skilling and said, “While you dine on Chateaubriand and champagne, my daughter and I clip grocery coupons and eat leftovers.” And on and on it went.</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Judge asked Skilling to rise.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evidence established that the defendant repeatedly lied to investors, including Enron’s own employees, about various aspects of Enron’s business,” the Judge said. He had no choice but to be harsh: Skilling would serve two hundred and ninety-two months in prison—twenty-four years. The man who headed a firm that Fortune ranked among the “most admired” in the world had received one of the heaviest sentences ever given to a white-collar criminal. He would leave prison an old man, if he left prison at all.</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 only have one request, Your Honor,” Daniel </w:t>
            </w:r>
            <w:proofErr w:type="spellStart"/>
            <w:r w:rsidRPr="006069D7">
              <w:rPr>
                <w:rFonts w:ascii="Times New Roman" w:eastAsia="Times New Roman" w:hAnsi="Times New Roman" w:cs="Times New Roman"/>
                <w:sz w:val="24"/>
                <w:szCs w:val="24"/>
              </w:rPr>
              <w:t>Petrocelli</w:t>
            </w:r>
            <w:proofErr w:type="spellEnd"/>
            <w:r w:rsidRPr="006069D7">
              <w:rPr>
                <w:rFonts w:ascii="Times New Roman" w:eastAsia="Times New Roman" w:hAnsi="Times New Roman" w:cs="Times New Roman"/>
                <w:sz w:val="24"/>
                <w:szCs w:val="24"/>
              </w:rPr>
              <w:t>, Skilling’s lawyer, said. “If he received ten fewer months, which shouldn’t make a difference in terms of the goals of sentencing, if you do the math and you subtract fifteen per cent for good time, he then qualifies under Bureau of Prisons policies to be able to serve his time at a lower facility. Just a ten-month reduction in sentence . .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It was a plea for leniency. Skilling wasn’t a murderer or a rapist. He was a pillar of the Houston community, and a small adjustment in his sentence would keep him from spending the rest of his life among hardened criminals.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“No,” Judge Lake said.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If you sat through the trial of Jeffrey Skilling, you’d think that the Enron scandal was a puzzle. The company, the prosecution said, conducted shady side deals that no one quite understood. Senior executives withheld critical information from investors. Skilling, the architect of the firm’s strategy, was a liar, a thief, and a drunk. We were not told enough—the classic puzzle premise—was the central assumption of the Enron prosecution.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lastRenderedPageBreak/>
              <w:t>“This is a simple case, ladies and gentlemen,” the lead prosecutor for the Department of Justice said in his closing arguments to the jury:</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Because it’s so simple, I’m probably going to end before my allotted time. It’s black-and-white. Truth and lies. The shareholders, ladies and </w:t>
            </w:r>
            <w:proofErr w:type="gramStart"/>
            <w:r w:rsidRPr="006069D7">
              <w:rPr>
                <w:rFonts w:ascii="Times New Roman" w:eastAsia="Times New Roman" w:hAnsi="Times New Roman" w:cs="Times New Roman"/>
                <w:sz w:val="24"/>
                <w:szCs w:val="24"/>
              </w:rPr>
              <w:t>gentlemen, . . .</w:t>
            </w:r>
            <w:proofErr w:type="gramEnd"/>
            <w:r w:rsidRPr="006069D7">
              <w:rPr>
                <w:rFonts w:ascii="Times New Roman" w:eastAsia="Times New Roman" w:hAnsi="Times New Roman" w:cs="Times New Roman"/>
                <w:sz w:val="24"/>
                <w:szCs w:val="24"/>
              </w:rPr>
              <w:t xml:space="preserve"> buy a share of stock, and for that they’re not entitled to much but they’re entitled to the truth. They’re entitled for the officers and employees of the company to put their interests ahead of their own. They’re entitled to be told what the financial condition of the company is. They are entitled to honesty, ladies and gentlemen. But the prosecutor was wrong. Enron wasn’t really a puzzle. It was a mystery.</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In late July of 2000, Jonathan Weil, a reporter at the Dallas bureau of the Wall Street Journal, got a call from someone he knew in the investment-management business. Weil wrote the stock column, called “Heard in Texas,” for the paper’s regional edition, and he had been closely following the big energy firms based in Houston—Dynegy, El Paso, and Enron. His caller had a suggestion. “He said, ‘You really ought to check out Enron and Dynegy and see where their earnings come from,’ ” Weil recalled. “So I did.”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Weil was interested in Enron’s use of what is called mark-to-market accounting, which is a technique used by companies that engage in complicated financial trading. Suppose, for instance, that you are an energy company and you enter into a hundred-million-dollar contract with the state of California to deliver a billion kilowatt hours of electricity in 2016. How much is that contract worth? You aren’t going to get paid for another ten years, and you aren’t going to know until then whether you’ll show a profit on the deal or a loss. Nonetheless, that hundred-million-dollar promise clearly matters to your bottom line. If electricity steadily drops in price over the next several years, the contract is going to become a hugely valuable asset. But if electricity starts to get more expensive as 2016 approaches, you could be out tens of millions of dollars. With mark-to-market accounting, you estimate how much revenue the deal is going to bring in and put that number in your books at the moment you sign the contract. If, down the line, the estimate changes, you adjust the balance sheet accordingly.</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When a company using mark-to-market accounting says it has made a profit of ten million dollars on revenues of a hundred million, then, it could mean one of two things. The company may actually have a hundred million dollars in its bank accounts, of which ten million will remain after it has paid its bills. Or it may be guessing that it will make ten million dollars on a deal where money may not actually change hands for years. Weil’s source wanted him to see how much of the money Enron said it was making was “real.”</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Weil got copies of the firm’s annual reports and quarterly filings and began comparing the income statements and the cash-flow statements. “It took me a while to figure out everything I needed to,” Weil said. “It probably took a good month or so. There was a lot of noise in the financial statements, and to zero in on this particular issue you needed to cut through a lot of </w:t>
            </w:r>
            <w:r w:rsidRPr="006069D7">
              <w:rPr>
                <w:rFonts w:ascii="Times New Roman" w:eastAsia="Times New Roman" w:hAnsi="Times New Roman" w:cs="Times New Roman"/>
                <w:sz w:val="24"/>
                <w:szCs w:val="24"/>
              </w:rPr>
              <w:lastRenderedPageBreak/>
              <w:t xml:space="preserve">that.” Weil spoke to Thomas </w:t>
            </w:r>
            <w:proofErr w:type="spellStart"/>
            <w:r w:rsidRPr="006069D7">
              <w:rPr>
                <w:rFonts w:ascii="Times New Roman" w:eastAsia="Times New Roman" w:hAnsi="Times New Roman" w:cs="Times New Roman"/>
                <w:sz w:val="24"/>
                <w:szCs w:val="24"/>
              </w:rPr>
              <w:t>Linsmeier</w:t>
            </w:r>
            <w:proofErr w:type="spellEnd"/>
            <w:r w:rsidRPr="006069D7">
              <w:rPr>
                <w:rFonts w:ascii="Times New Roman" w:eastAsia="Times New Roman" w:hAnsi="Times New Roman" w:cs="Times New Roman"/>
                <w:sz w:val="24"/>
                <w:szCs w:val="24"/>
              </w:rPr>
              <w:t>, then an accounting professor at Michigan State, and they talked about how some finance companies in the nineteen-nineties had used mark-to-market accounting on subprime loans—that is, loans made to higher-credit-risk consumers—and when the economy declined and consumers defaulted or paid off their loans more quickly than expected, the lenders suddenly realized that their estimates of how much money they were going to make were far too generous. Weil spoke to someone at the Financial Accounting Standards Board, to an analyst at the Moody’s investment-rating agency, and to a dozen or so others. Then he went back to Enron’s financial statements. His conclusions were sobering. In the second quarter of 2000, $747 million of the money Enron said it had made was “unrealized”—that is, it was money that executives thought they were going to make at some point in the future. If you took that imaginary money away, Enron had shown a significant loss in the second quarter. This was one of the most admired companies in the United States, a firm that was then valued by the stock market as the seventh-largest corporation in the country, and there was practically no cash coming into its coffers.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Weil’s story ran in the Journal on September 20, 2000. A few days later, it was read by a Wall Street financier named James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is a short-seller—an investor who tries to make money by betting that a company’s stock will fall. “It pricked up my ears,”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said. “I read the 10-K and the 10-Q that first weekend,” he went on, referring to the financial statements that public companies are required to file with federal regulators. “I went through it pretty quickly. I flagged right away the stuff that was questionable. I circled it. That was the first run-through. Then I flagged the pages and read the stuff I didn’t understand, and reread it two or three times. I remember I spent a couple hours on it.” Enron’s profit margins and its return on equity were plunging,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saw. Cash flow—the life blood of any business—had slowed to a trickle, and the company’s rate of return was less than its cost of capital: it was as if you had borrowed money from the bank at nine-per-cent interest and invested it in a savings bond that paid you seven-per-cent interest. “They were basically liquidating themselves,”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said.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In November of that year,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began shorting Enron stock. Over the next few months, he spread the word that he thought the company was in trouble. He tipped off a reporter for Fortune, Bethany McLean. She read the same reports that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and Weil had, and came to the same conclusion. Her story, under the headline “IS ENRON OVERPRICED</w:t>
            </w:r>
            <w:proofErr w:type="gramStart"/>
            <w:r w:rsidRPr="006069D7">
              <w:rPr>
                <w:rFonts w:ascii="Times New Roman" w:eastAsia="Times New Roman" w:hAnsi="Times New Roman" w:cs="Times New Roman"/>
                <w:sz w:val="24"/>
                <w:szCs w:val="24"/>
              </w:rPr>
              <w:t>?,</w:t>
            </w:r>
            <w:proofErr w:type="gramEnd"/>
            <w:r w:rsidRPr="006069D7">
              <w:rPr>
                <w:rFonts w:ascii="Times New Roman" w:eastAsia="Times New Roman" w:hAnsi="Times New Roman" w:cs="Times New Roman"/>
                <w:sz w:val="24"/>
                <w:szCs w:val="24"/>
              </w:rPr>
              <w:t>” ran in March of 2001. More and more journalists and analysts began taking a closer look at Enron, and the stock began to fall. In August, Skilling resigned. Enron’s credit rating was downgraded. Banks became reluctant to lend Enron the money it needed to make its trades. By December, the company had filed for bankruptcy.</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When Weil had finished his reporting, he called Enron for comment. “They had their chief accounting officer and six or seven people fly up to Dallas,” Weil says. They met in a conference room at the Journal’s offices. The Enron officials acknowledged that the money they said they earned was virtually all money that they hoped to earn. Weil and the Enron officials then had a long conversation about how certain Enron was about its estimates of future earnings. “They were telling me how brilliant the people who put together their mathematical models were,” Weil says. “These were M.I.T. </w:t>
            </w:r>
            <w:proofErr w:type="spellStart"/>
            <w:r w:rsidRPr="006069D7">
              <w:rPr>
                <w:rFonts w:ascii="Times New Roman" w:eastAsia="Times New Roman" w:hAnsi="Times New Roman" w:cs="Times New Roman"/>
                <w:sz w:val="24"/>
                <w:szCs w:val="24"/>
              </w:rPr>
              <w:t>Ph.D.s</w:t>
            </w:r>
            <w:proofErr w:type="spellEnd"/>
            <w:r w:rsidRPr="006069D7">
              <w:rPr>
                <w:rFonts w:ascii="Times New Roman" w:eastAsia="Times New Roman" w:hAnsi="Times New Roman" w:cs="Times New Roman"/>
                <w:sz w:val="24"/>
                <w:szCs w:val="24"/>
              </w:rPr>
              <w:t xml:space="preserve">. I said, ‘Were your </w:t>
            </w:r>
            <w:r w:rsidRPr="006069D7">
              <w:rPr>
                <w:rFonts w:ascii="Times New Roman" w:eastAsia="Times New Roman" w:hAnsi="Times New Roman" w:cs="Times New Roman"/>
                <w:sz w:val="24"/>
                <w:szCs w:val="24"/>
              </w:rPr>
              <w:lastRenderedPageBreak/>
              <w:t>mathematical models last year telling you that the California electricity markets would be going berserk this year? No? Why not?’ They said, ‘Well, this is one of those crazy events.’ It was late September, 2000, so I said, ‘Who do you think is going to win? Bush or Gore?’ They said, ‘We don’t know.’ I said, ‘Don’t you think it will make a difference to the market whether you have an environmentalist Democrat in the White House or a Texas oil man?” It was all very civil. “There was no dispute about the numbers,” Weil went on. “There was only a difference in how you should interpret them.”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Of all the moments in the Enron unravelling, this meeting is surely the strangest. The prosecutor in the Enron case told the jury to send Jeffrey Skilling to prison because Enron had hidden the truth: You’re “entitled to be told what the financial condition of the company is,” the prosecutor had said. But what truth was Enron hiding here? Everything Weil learned for his Enron exposé came from Enron, and when he wanted to confirm his numbers the company’s executives got on a plane and sat down with him in a conference room in Dallas.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 second, and perhaps more consequential, problem with Enron’s accounting was its heavy reliance on what are called special-purpose entities, or S.P.E.s.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An S.P.E. works something like this. Your company isn’t doing well; sales are down and you are heavily in debt. If you go to a bank to borrow a hundred million dollars, it will probably charge you an extremely high interest rate, if it agrees to lend to you at all. But you’ve got a bundle of oil leases that over the next four or five years are almost certain to bring in a hundred million dollars. So you hand them over to a partnership—the S.P.E.—that you have set up with some outside investors. The bank then lends a hundred million dollars to the partnership, and the partnership gives the money to you. That bit of financial maneuvering makes a big difference. This kind of transaction did not (at the time) have to be reported in the company’s balance sheet. So a company could raise capital without increasing its indebtedness. And because the bank is almost certain the leases will generate enough money to pay off the loan, it’s willing to lend its money at a much lower interest rate. S.P.E.s have become commonplace in corporate America.</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Enron introduced all kinds of twists into the S.P.E. game. It didn’t always put blue-chip assets into the partnerships—like oil leases that would reliably generate income. It sometimes sold off less than sterling assets. Nor did it always sell those assets to outsiders, who presumably would raise questions about the value of what they were buying. Enron had its own executives manage these partnerships. And the company would make the deals work—that is, get the partnerships and the banks to play along—by guaranteeing that, if whatever they had to sell declined in value, Enron would make up the difference with its own stock. In other words, Enron didn’t sell parts of itself to an outside entity; it effectively sold parts of itself to itself—a strategy that was not only legally questionable but extraordinarily risky. It was Enron’s tangle of financial obligations to the S.P.E.s that ended up triggering the collapse.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When the prosecution in the Skilling case argued that the company had misled its investors, they were referring, in part, to these S.P.E.s. Enron’s management, the argument went, had </w:t>
            </w:r>
            <w:r w:rsidRPr="006069D7">
              <w:rPr>
                <w:rFonts w:ascii="Times New Roman" w:eastAsia="Times New Roman" w:hAnsi="Times New Roman" w:cs="Times New Roman"/>
                <w:sz w:val="24"/>
                <w:szCs w:val="24"/>
              </w:rPr>
              <w:lastRenderedPageBreak/>
              <w:t>an obligation to reveal the extent to which it had staked its financial livelihood on these shadowy side deals. As the Powers Committee, a panel charged with investigating Enron’s demise, noted, the company “failed to achieve a fundamental objective: they did not communicate the essence of the transactions in a sufficiently clear fashion to enable a reader of [Enron’s] financial statements to understand what was going on.” In short, we weren’t told enough.</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Here again, though, the lessons of the Enron case aren’t nearly so straightforward. The public became aware of the nature of these S.P.E.s through the reporting of several of Weil’s colleagues at the Wall Street Journal—principally John </w:t>
            </w:r>
            <w:proofErr w:type="spellStart"/>
            <w:r w:rsidRPr="006069D7">
              <w:rPr>
                <w:rFonts w:ascii="Times New Roman" w:eastAsia="Times New Roman" w:hAnsi="Times New Roman" w:cs="Times New Roman"/>
                <w:sz w:val="24"/>
                <w:szCs w:val="24"/>
              </w:rPr>
              <w:t>Emshwiller</w:t>
            </w:r>
            <w:proofErr w:type="spellEnd"/>
            <w:r w:rsidRPr="006069D7">
              <w:rPr>
                <w:rFonts w:ascii="Times New Roman" w:eastAsia="Times New Roman" w:hAnsi="Times New Roman" w:cs="Times New Roman"/>
                <w:sz w:val="24"/>
                <w:szCs w:val="24"/>
              </w:rPr>
              <w:t xml:space="preserve"> and Rebecca Smith—starting in the late summer of 2001. And how was </w:t>
            </w:r>
            <w:proofErr w:type="spellStart"/>
            <w:r w:rsidRPr="006069D7">
              <w:rPr>
                <w:rFonts w:ascii="Times New Roman" w:eastAsia="Times New Roman" w:hAnsi="Times New Roman" w:cs="Times New Roman"/>
                <w:sz w:val="24"/>
                <w:szCs w:val="24"/>
              </w:rPr>
              <w:t>Emshwiller</w:t>
            </w:r>
            <w:proofErr w:type="spellEnd"/>
            <w:r w:rsidRPr="006069D7">
              <w:rPr>
                <w:rFonts w:ascii="Times New Roman" w:eastAsia="Times New Roman" w:hAnsi="Times New Roman" w:cs="Times New Roman"/>
                <w:sz w:val="24"/>
                <w:szCs w:val="24"/>
              </w:rPr>
              <w:t xml:space="preserve"> tipped off to Enron’s problems? The same way Jonathan Weil and Jim </w:t>
            </w:r>
            <w:proofErr w:type="spellStart"/>
            <w:r w:rsidRPr="006069D7">
              <w:rPr>
                <w:rFonts w:ascii="Times New Roman" w:eastAsia="Times New Roman" w:hAnsi="Times New Roman" w:cs="Times New Roman"/>
                <w:sz w:val="24"/>
                <w:szCs w:val="24"/>
              </w:rPr>
              <w:t>Chanos</w:t>
            </w:r>
            <w:proofErr w:type="spellEnd"/>
            <w:r w:rsidRPr="006069D7">
              <w:rPr>
                <w:rFonts w:ascii="Times New Roman" w:eastAsia="Times New Roman" w:hAnsi="Times New Roman" w:cs="Times New Roman"/>
                <w:sz w:val="24"/>
                <w:szCs w:val="24"/>
              </w:rPr>
              <w:t xml:space="preserve"> were: he read what Enron had reported in its own public filings. Here is the description of </w:t>
            </w:r>
            <w:proofErr w:type="spellStart"/>
            <w:r w:rsidRPr="006069D7">
              <w:rPr>
                <w:rFonts w:ascii="Times New Roman" w:eastAsia="Times New Roman" w:hAnsi="Times New Roman" w:cs="Times New Roman"/>
                <w:sz w:val="24"/>
                <w:szCs w:val="24"/>
              </w:rPr>
              <w:t>Emshwiller’s</w:t>
            </w:r>
            <w:proofErr w:type="spellEnd"/>
            <w:r w:rsidRPr="006069D7">
              <w:rPr>
                <w:rFonts w:ascii="Times New Roman" w:eastAsia="Times New Roman" w:hAnsi="Times New Roman" w:cs="Times New Roman"/>
                <w:sz w:val="24"/>
                <w:szCs w:val="24"/>
              </w:rPr>
              <w:t xml:space="preserve"> epiphany, as described in Kurt </w:t>
            </w:r>
            <w:proofErr w:type="spellStart"/>
            <w:r w:rsidRPr="006069D7">
              <w:rPr>
                <w:rFonts w:ascii="Times New Roman" w:eastAsia="Times New Roman" w:hAnsi="Times New Roman" w:cs="Times New Roman"/>
                <w:sz w:val="24"/>
                <w:szCs w:val="24"/>
              </w:rPr>
              <w:t>Eichenwald’s</w:t>
            </w:r>
            <w:proofErr w:type="spellEnd"/>
            <w:r w:rsidRPr="006069D7">
              <w:rPr>
                <w:rFonts w:ascii="Times New Roman" w:eastAsia="Times New Roman" w:hAnsi="Times New Roman" w:cs="Times New Roman"/>
                <w:sz w:val="24"/>
                <w:szCs w:val="24"/>
              </w:rPr>
              <w:t xml:space="preserve"> “Conspiracy of Fools,” the definitive history of the Enron debacle. (Note the verb “scrounged,” which </w:t>
            </w:r>
            <w:proofErr w:type="spellStart"/>
            <w:r w:rsidRPr="006069D7">
              <w:rPr>
                <w:rFonts w:ascii="Times New Roman" w:eastAsia="Times New Roman" w:hAnsi="Times New Roman" w:cs="Times New Roman"/>
                <w:sz w:val="24"/>
                <w:szCs w:val="24"/>
              </w:rPr>
              <w:t>Eichenwald</w:t>
            </w:r>
            <w:proofErr w:type="spellEnd"/>
            <w:r w:rsidRPr="006069D7">
              <w:rPr>
                <w:rFonts w:ascii="Times New Roman" w:eastAsia="Times New Roman" w:hAnsi="Times New Roman" w:cs="Times New Roman"/>
                <w:sz w:val="24"/>
                <w:szCs w:val="24"/>
              </w:rPr>
              <w:t xml:space="preserve"> uses to describe how </w:t>
            </w:r>
            <w:proofErr w:type="spellStart"/>
            <w:r w:rsidRPr="006069D7">
              <w:rPr>
                <w:rFonts w:ascii="Times New Roman" w:eastAsia="Times New Roman" w:hAnsi="Times New Roman" w:cs="Times New Roman"/>
                <w:sz w:val="24"/>
                <w:szCs w:val="24"/>
              </w:rPr>
              <w:t>Emshwiller</w:t>
            </w:r>
            <w:proofErr w:type="spellEnd"/>
            <w:r w:rsidRPr="006069D7">
              <w:rPr>
                <w:rFonts w:ascii="Times New Roman" w:eastAsia="Times New Roman" w:hAnsi="Times New Roman" w:cs="Times New Roman"/>
                <w:sz w:val="24"/>
                <w:szCs w:val="24"/>
              </w:rPr>
              <w:t xml:space="preserve"> found the relevant Enron documents. What he means by that is “downloaded.”)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It was section eight, called “Related Party Transactions,” that got John </w:t>
            </w:r>
            <w:proofErr w:type="spellStart"/>
            <w:r w:rsidRPr="006069D7">
              <w:rPr>
                <w:rFonts w:ascii="Times New Roman" w:eastAsia="Times New Roman" w:hAnsi="Times New Roman" w:cs="Times New Roman"/>
                <w:sz w:val="24"/>
                <w:szCs w:val="24"/>
              </w:rPr>
              <w:t>Emshwiller’s</w:t>
            </w:r>
            <w:proofErr w:type="spellEnd"/>
            <w:r w:rsidRPr="006069D7">
              <w:rPr>
                <w:rFonts w:ascii="Times New Roman" w:eastAsia="Times New Roman" w:hAnsi="Times New Roman" w:cs="Times New Roman"/>
                <w:sz w:val="24"/>
                <w:szCs w:val="24"/>
              </w:rPr>
              <w:t xml:space="preserve"> juices flowing. After being assigned to follow the Skilling resignation, </w:t>
            </w:r>
            <w:proofErr w:type="spellStart"/>
            <w:r w:rsidRPr="006069D7">
              <w:rPr>
                <w:rFonts w:ascii="Times New Roman" w:eastAsia="Times New Roman" w:hAnsi="Times New Roman" w:cs="Times New Roman"/>
                <w:sz w:val="24"/>
                <w:szCs w:val="24"/>
              </w:rPr>
              <w:t>Emshwiller</w:t>
            </w:r>
            <w:proofErr w:type="spellEnd"/>
            <w:r w:rsidRPr="006069D7">
              <w:rPr>
                <w:rFonts w:ascii="Times New Roman" w:eastAsia="Times New Roman" w:hAnsi="Times New Roman" w:cs="Times New Roman"/>
                <w:sz w:val="24"/>
                <w:szCs w:val="24"/>
              </w:rPr>
              <w:t xml:space="preserve"> had put in a request for an interview, then scrounged up a copy of Enron’s most recent SEC filing in search of any nuggets. What he found startled him. Words about some partnerships run by an unidentified “senior officer.” Arcane stuff, maybe, but the numbers were huge. Enron reported more than $240 million in revenues in the first six months of the year from its dealings with them.</w:t>
            </w:r>
            <w:r w:rsidRPr="006069D7">
              <w:rPr>
                <w:rFonts w:ascii="Times New Roman" w:eastAsia="Times New Roman" w:hAnsi="Times New Roman" w:cs="Times New Roman"/>
                <w:sz w:val="24"/>
                <w:szCs w:val="24"/>
              </w:rPr>
              <w:br/>
              <w:t> </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Enron’s S.P.E.s were, by any measure, evidence of extraordinary recklessness and incompetence. But you can’t blame Enron for covering up the existence of its side deals. It didn’t; it disclosed them. The argument against the company, then, is more accurately that it didn’t tell its investors enough about its S.P.E.s. But what is enough? Enron had some three thousand S.P.E.s, and the paperwork for each one probably ran in excess of a thousand pages. It scarcely would have helped investors if Enron had made all three million pages public. What about an edited version of each deal? Steven </w:t>
            </w:r>
            <w:proofErr w:type="spellStart"/>
            <w:r w:rsidRPr="006069D7">
              <w:rPr>
                <w:rFonts w:ascii="Times New Roman" w:eastAsia="Times New Roman" w:hAnsi="Times New Roman" w:cs="Times New Roman"/>
                <w:sz w:val="24"/>
                <w:szCs w:val="24"/>
              </w:rPr>
              <w:t>Schwarcz</w:t>
            </w:r>
            <w:proofErr w:type="spellEnd"/>
            <w:r w:rsidRPr="006069D7">
              <w:rPr>
                <w:rFonts w:ascii="Times New Roman" w:eastAsia="Times New Roman" w:hAnsi="Times New Roman" w:cs="Times New Roman"/>
                <w:sz w:val="24"/>
                <w:szCs w:val="24"/>
              </w:rPr>
              <w:t xml:space="preserve">, a professor at Duke Law School, recently examined a random sample of twenty S.P.E. disclosure statements from various corporations—that is, summaries of the deals put together for interested parties—and found that on average they ran to forty single-spaced pages. So a summary of Enron’s S.P.E.s would have come to a hundred and twenty thousand single-spaced pages. What about a summary of all those summaries? That’s what the bankruptcy examiner in the Enron case put together, and it took up a thousand pages. Well, then, what about a summary of the summary of the summaries? That’s what the Powers Committee put together. The committee looked only at the “substance of the most significant transactions,” and its accounting still ran to two hundred numbingly complicated pages and, as </w:t>
            </w:r>
            <w:proofErr w:type="spellStart"/>
            <w:r w:rsidRPr="006069D7">
              <w:rPr>
                <w:rFonts w:ascii="Times New Roman" w:eastAsia="Times New Roman" w:hAnsi="Times New Roman" w:cs="Times New Roman"/>
                <w:sz w:val="24"/>
                <w:szCs w:val="24"/>
              </w:rPr>
              <w:t>Schwarcz</w:t>
            </w:r>
            <w:proofErr w:type="spellEnd"/>
            <w:r w:rsidRPr="006069D7">
              <w:rPr>
                <w:rFonts w:ascii="Times New Roman" w:eastAsia="Times New Roman" w:hAnsi="Times New Roman" w:cs="Times New Roman"/>
                <w:sz w:val="24"/>
                <w:szCs w:val="24"/>
              </w:rPr>
              <w:t xml:space="preserve"> points out, that was “with the benefit of hindsight and with the assistance of some of the finest legal talent in the nation.”</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lastRenderedPageBreak/>
              <w:t xml:space="preserve">“These were very, very sophisticated, complex transactions,” says Anthony </w:t>
            </w:r>
            <w:proofErr w:type="spellStart"/>
            <w:r w:rsidRPr="006069D7">
              <w:rPr>
                <w:rFonts w:ascii="Times New Roman" w:eastAsia="Times New Roman" w:hAnsi="Times New Roman" w:cs="Times New Roman"/>
                <w:sz w:val="24"/>
                <w:szCs w:val="24"/>
              </w:rPr>
              <w:t>Catanach</w:t>
            </w:r>
            <w:proofErr w:type="spellEnd"/>
            <w:r w:rsidRPr="006069D7">
              <w:rPr>
                <w:rFonts w:ascii="Times New Roman" w:eastAsia="Times New Roman" w:hAnsi="Times New Roman" w:cs="Times New Roman"/>
                <w:sz w:val="24"/>
                <w:szCs w:val="24"/>
              </w:rPr>
              <w:t xml:space="preserve">, who teaches accounting at the Villanova University School of Business and has written extensively on the Enron case. Referring to Enron’s accounting firm, he said, “I’m not even sure any of Arthur Andersen’s field staff at Enron would have been able to understand them, even if it was all in front of them. This is senior-management-type stuff. I spent two </w:t>
            </w:r>
            <w:proofErr w:type="spellStart"/>
            <w:r w:rsidRPr="006069D7">
              <w:rPr>
                <w:rFonts w:ascii="Times New Roman" w:eastAsia="Times New Roman" w:hAnsi="Times New Roman" w:cs="Times New Roman"/>
                <w:sz w:val="24"/>
                <w:szCs w:val="24"/>
              </w:rPr>
              <w:t>monthslooking</w:t>
            </w:r>
            <w:proofErr w:type="spellEnd"/>
            <w:r w:rsidRPr="006069D7">
              <w:rPr>
                <w:rFonts w:ascii="Times New Roman" w:eastAsia="Times New Roman" w:hAnsi="Times New Roman" w:cs="Times New Roman"/>
                <w:sz w:val="24"/>
                <w:szCs w:val="24"/>
              </w:rPr>
              <w:t xml:space="preserve"> at the Powers report, just diagramming it. These deals were really convoluted.”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Enron’s S.P.E.s, it should be noted, would have been this hard to understand even if they were standard issue. S.P.E.s are by nature difficult. A company creates an S.P.E. because it wants to reassure banks about the risks of making a loan. To provide that reassurance, the company gives its lenders and partners very detailed information about a specific portion of its business. And the more certainty a company creates for the lender—the more guarantees and safeguards and explanations it writes into the deal—the less comprehensible the transaction becomes to outsiders. </w:t>
            </w:r>
            <w:proofErr w:type="spellStart"/>
            <w:r w:rsidRPr="006069D7">
              <w:rPr>
                <w:rFonts w:ascii="Times New Roman" w:eastAsia="Times New Roman" w:hAnsi="Times New Roman" w:cs="Times New Roman"/>
                <w:sz w:val="24"/>
                <w:szCs w:val="24"/>
              </w:rPr>
              <w:t>Schwarcz</w:t>
            </w:r>
            <w:proofErr w:type="spellEnd"/>
            <w:r w:rsidRPr="006069D7">
              <w:rPr>
                <w:rFonts w:ascii="Times New Roman" w:eastAsia="Times New Roman" w:hAnsi="Times New Roman" w:cs="Times New Roman"/>
                <w:sz w:val="24"/>
                <w:szCs w:val="24"/>
              </w:rPr>
              <w:t xml:space="preserve"> writes that Enron’s disclosure was “necessarily imperfect.” You can try to make financial transactions understandable by simplifying them, in which case you run the risk of smoothing over some of their potential risks, or you can try to disclose every potential pitfall, in which case you’ll make the disclosure so unwieldy that no one will be able to understand it. To </w:t>
            </w:r>
            <w:proofErr w:type="spellStart"/>
            <w:r w:rsidRPr="006069D7">
              <w:rPr>
                <w:rFonts w:ascii="Times New Roman" w:eastAsia="Times New Roman" w:hAnsi="Times New Roman" w:cs="Times New Roman"/>
                <w:sz w:val="24"/>
                <w:szCs w:val="24"/>
              </w:rPr>
              <w:t>Schwarcz</w:t>
            </w:r>
            <w:proofErr w:type="spellEnd"/>
            <w:r w:rsidRPr="006069D7">
              <w:rPr>
                <w:rFonts w:ascii="Times New Roman" w:eastAsia="Times New Roman" w:hAnsi="Times New Roman" w:cs="Times New Roman"/>
                <w:sz w:val="24"/>
                <w:szCs w:val="24"/>
              </w:rPr>
              <w:t>, all Enron proves is that in an age of increasing financial complexity the “disclosure paradigm”—the idea that the more a company tells us about its business, the better off we are—has become an anachronism.</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“In order for an economy to have an adequate system of financial reporting, it is not enough that companies make disclosures of financial information,” the Yale law professor Jonathan Macey wrote in a landmark law-review article that encouraged many to rethink the Enron case. “In addition, it is vital that there be a set of financial intermediaries, who are at least as competent and sophisticated at receiving, processing, and interpreting financial information . . . as the companies are at delivering it.” Puzzles are “transmitter-dependent”; they turn on what we are told. Mysteries are “receiver dependent”; they turn on the skills of the listener, and Macey argues that, as Enron’s business practices grew more complicated, it was Wall Street’s responsibility to keep pace.</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Victor Fleischer, who teaches at the University of Colorado Law School, points out that one of the critical clues about Enron’s condition lay in the fact that it paid no income tax in four of its last five years. Enron’s use of mark-to-market accounting and S.P.E.s was an accounting game that made the company look as though it were earning far more money than it was. But the I.R.S. doesn’t accept mark-to-market accounting; you pay tax on income when you actually receive that income. And, from the I.R.S.’s perspective, all of Enron’s fantastically complex maneuvering around its S.P.E.s was, as Fleischer puts it, “a non-event”: until the partnership actually sells the asset—and makes either a profit or a loss—an S.P.E. is just an accounting fiction. Enron wasn’t paying any taxes because, in the eyes of the I.R.S., Enron wasn’t making any money.</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If you looked at Enron from the perspective of the tax code, that is, you would have seen a very different picture of the company than if you had looked through the more traditional </w:t>
            </w:r>
            <w:r w:rsidRPr="006069D7">
              <w:rPr>
                <w:rFonts w:ascii="Times New Roman" w:eastAsia="Times New Roman" w:hAnsi="Times New Roman" w:cs="Times New Roman"/>
                <w:sz w:val="24"/>
                <w:szCs w:val="24"/>
              </w:rPr>
              <w:lastRenderedPageBreak/>
              <w:t>lens of the accounting profession. But in order to do that you would have to be trained in the tax code and be familiar with its particular conventions and intricacies, and know what questions to ask. “The fact of the gap between [Enron’s] accounting income and taxable income was easily observed,” Fleischer notes, but not the source of the gap. “The tax code requires special training.”</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“There have been scandals in corporate history where people are really making stuff up, but this wasn’t a criminal enterprise of that kind,” Macey says. “Enron was vanishingly close, in my view, to having complied with the accounting rules. They were going over the edge, just a little bit. And this kind of financial fraud—where people are simply stretching the truth—falls into the area that analysts and short-sellers are supposed to ferret out. The truth wasn’t hidden. But you’d have to look at their financial statements, and you would have to say to yourself, What’s that about? It’s almost as if they were saying, ‘We’re doing some really sleazy stuff in footnote 42, and if you want to know more about it ask us.’ And that’s the thing. Nobody did.”</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In the spring of 1998, Macey notes, a group of six students at Cornell University’s business school decided to do their term project on Enron. “It was for an advanced financial-statement-analysis class taught by a guy at Cornell called Charles Lee, who is pretty famous in financial circles,” one member of the group, Jay Krueger, recalls. In the first part of the semester, Lee had led his students through a series of intensive case studies, teaching them techniques and sophisticated tools to make sense of the vast amounts of information that companies disclose in their annual reports and S.E.C. filings. Then the students picked a company and went off on their own. “One of the second-years had a summer-internship interview with Enron, and he was very interested in the energy sector,” Krueger went on. “So he said, ‘Let’s do them.’ It was about a six-week project, half a semester. Lots of group meetings. It was a ratio analysis, which is pretty standard business-school fare. You know, take fifty different financial ratios, </w:t>
            </w:r>
            <w:proofErr w:type="gramStart"/>
            <w:r w:rsidRPr="006069D7">
              <w:rPr>
                <w:rFonts w:ascii="Times New Roman" w:eastAsia="Times New Roman" w:hAnsi="Times New Roman" w:cs="Times New Roman"/>
                <w:sz w:val="24"/>
                <w:szCs w:val="24"/>
              </w:rPr>
              <w:t>then</w:t>
            </w:r>
            <w:proofErr w:type="gramEnd"/>
            <w:r w:rsidRPr="006069D7">
              <w:rPr>
                <w:rFonts w:ascii="Times New Roman" w:eastAsia="Times New Roman" w:hAnsi="Times New Roman" w:cs="Times New Roman"/>
                <w:sz w:val="24"/>
                <w:szCs w:val="24"/>
              </w:rPr>
              <w:t xml:space="preserve"> lay that on top of every piece of information you could find out about the company, the businesses, how their performance compared to other competitors.”</w:t>
            </w:r>
          </w:p>
          <w:p w:rsidR="006069D7" w:rsidRPr="006069D7" w:rsidRDefault="006069D7" w:rsidP="006069D7">
            <w:pPr>
              <w:spacing w:before="100" w:beforeAutospacing="1" w:after="100" w:afterAutospacing="1" w:line="240" w:lineRule="auto"/>
              <w:rPr>
                <w:rFonts w:ascii="Times New Roman" w:eastAsia="Times New Roman" w:hAnsi="Times New Roman" w:cs="Times New Roman"/>
                <w:sz w:val="24"/>
                <w:szCs w:val="24"/>
              </w:rPr>
            </w:pPr>
            <w:r w:rsidRPr="006069D7">
              <w:rPr>
                <w:rFonts w:ascii="Times New Roman" w:eastAsia="Times New Roman" w:hAnsi="Times New Roman" w:cs="Times New Roman"/>
                <w:sz w:val="24"/>
                <w:szCs w:val="24"/>
              </w:rPr>
              <w:t xml:space="preserve">The people in the group reviewed Enron’s accounting practices as best they could. They analyzed each of Enron’s businesses, in succession. They used statistical tools, designed to find telltale patterns in the company’s financial performance—the </w:t>
            </w:r>
            <w:proofErr w:type="spellStart"/>
            <w:r w:rsidRPr="006069D7">
              <w:rPr>
                <w:rFonts w:ascii="Times New Roman" w:eastAsia="Times New Roman" w:hAnsi="Times New Roman" w:cs="Times New Roman"/>
                <w:sz w:val="24"/>
                <w:szCs w:val="24"/>
              </w:rPr>
              <w:t>Beneish</w:t>
            </w:r>
            <w:proofErr w:type="spellEnd"/>
            <w:r w:rsidRPr="006069D7">
              <w:rPr>
                <w:rFonts w:ascii="Times New Roman" w:eastAsia="Times New Roman" w:hAnsi="Times New Roman" w:cs="Times New Roman"/>
                <w:sz w:val="24"/>
                <w:szCs w:val="24"/>
              </w:rPr>
              <w:t xml:space="preserve"> model, the Lev and </w:t>
            </w:r>
            <w:proofErr w:type="spellStart"/>
            <w:r w:rsidRPr="006069D7">
              <w:rPr>
                <w:rFonts w:ascii="Times New Roman" w:eastAsia="Times New Roman" w:hAnsi="Times New Roman" w:cs="Times New Roman"/>
                <w:sz w:val="24"/>
                <w:szCs w:val="24"/>
              </w:rPr>
              <w:t>Thiagarajan</w:t>
            </w:r>
            <w:proofErr w:type="spellEnd"/>
            <w:r w:rsidRPr="006069D7">
              <w:rPr>
                <w:rFonts w:ascii="Times New Roman" w:eastAsia="Times New Roman" w:hAnsi="Times New Roman" w:cs="Times New Roman"/>
                <w:sz w:val="24"/>
                <w:szCs w:val="24"/>
              </w:rPr>
              <w:t xml:space="preserve"> indicators, the Edwards-Bell-</w:t>
            </w:r>
            <w:proofErr w:type="spellStart"/>
            <w:r w:rsidRPr="006069D7">
              <w:rPr>
                <w:rFonts w:ascii="Times New Roman" w:eastAsia="Times New Roman" w:hAnsi="Times New Roman" w:cs="Times New Roman"/>
                <w:sz w:val="24"/>
                <w:szCs w:val="24"/>
              </w:rPr>
              <w:t>Ohlsen</w:t>
            </w:r>
            <w:proofErr w:type="spellEnd"/>
            <w:r w:rsidRPr="006069D7">
              <w:rPr>
                <w:rFonts w:ascii="Times New Roman" w:eastAsia="Times New Roman" w:hAnsi="Times New Roman" w:cs="Times New Roman"/>
                <w:sz w:val="24"/>
                <w:szCs w:val="24"/>
              </w:rPr>
              <w:t xml:space="preserve"> analysis—and made their way through pages and pages of footnotes. “We really had a lot of questions about what was going on with their business model,” Krueger said. The students’ conclusions were straightforward. Enron was pursuing a far riskier strategy than its competitors. There were clear signs that “Enron may be manipulating its earnings.” The stock was then at forty-eight dollars—at its peak, two years later, it was almost double that—but the students found it over-valued. The report was posted on the Web site of the Cornell University business school, where it has been, ever since, for anyone who cared to read twenty-three pages of analysis. The students’ recommendation was on the first page, in boldfaced type: “Sell.”</w:t>
            </w:r>
          </w:p>
        </w:tc>
      </w:tr>
    </w:tbl>
    <w:p w:rsidR="006C6922" w:rsidRDefault="006069D7" w:rsidP="006069D7">
      <w:pPr>
        <w:spacing w:before="100" w:beforeAutospacing="1" w:after="100" w:afterAutospacing="1" w:line="240" w:lineRule="auto"/>
      </w:pPr>
    </w:p>
    <w:sectPr w:rsidR="006C6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06"/>
    <w:rsid w:val="003E0F38"/>
    <w:rsid w:val="00586A3E"/>
    <w:rsid w:val="006069D7"/>
    <w:rsid w:val="00725F76"/>
    <w:rsid w:val="008D1506"/>
    <w:rsid w:val="00951036"/>
    <w:rsid w:val="00A06D42"/>
    <w:rsid w:val="00EC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7047D-5843-499A-BB13-DAB25FF9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5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506"/>
    <w:rPr>
      <w:b/>
      <w:bCs/>
    </w:rPr>
  </w:style>
  <w:style w:type="character" w:styleId="Hyperlink">
    <w:name w:val="Hyperlink"/>
    <w:basedOn w:val="DefaultParagraphFont"/>
    <w:uiPriority w:val="99"/>
    <w:semiHidden/>
    <w:unhideWhenUsed/>
    <w:rsid w:val="008D1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3755">
      <w:bodyDiv w:val="1"/>
      <w:marLeft w:val="0"/>
      <w:marRight w:val="0"/>
      <w:marTop w:val="0"/>
      <w:marBottom w:val="0"/>
      <w:divBdr>
        <w:top w:val="none" w:sz="0" w:space="0" w:color="auto"/>
        <w:left w:val="none" w:sz="0" w:space="0" w:color="auto"/>
        <w:bottom w:val="none" w:sz="0" w:space="0" w:color="auto"/>
        <w:right w:val="none" w:sz="0" w:space="0" w:color="auto"/>
      </w:divBdr>
    </w:div>
    <w:div w:id="338890638">
      <w:bodyDiv w:val="1"/>
      <w:marLeft w:val="0"/>
      <w:marRight w:val="0"/>
      <w:marTop w:val="0"/>
      <w:marBottom w:val="0"/>
      <w:divBdr>
        <w:top w:val="none" w:sz="0" w:space="0" w:color="auto"/>
        <w:left w:val="none" w:sz="0" w:space="0" w:color="auto"/>
        <w:bottom w:val="none" w:sz="0" w:space="0" w:color="auto"/>
        <w:right w:val="none" w:sz="0" w:space="0" w:color="auto"/>
      </w:divBdr>
    </w:div>
    <w:div w:id="738483834">
      <w:bodyDiv w:val="1"/>
      <w:marLeft w:val="0"/>
      <w:marRight w:val="0"/>
      <w:marTop w:val="0"/>
      <w:marBottom w:val="0"/>
      <w:divBdr>
        <w:top w:val="none" w:sz="0" w:space="0" w:color="auto"/>
        <w:left w:val="none" w:sz="0" w:space="0" w:color="auto"/>
        <w:bottom w:val="none" w:sz="0" w:space="0" w:color="auto"/>
        <w:right w:val="none" w:sz="0" w:space="0" w:color="auto"/>
      </w:divBdr>
    </w:div>
    <w:div w:id="1275601767">
      <w:bodyDiv w:val="1"/>
      <w:marLeft w:val="0"/>
      <w:marRight w:val="0"/>
      <w:marTop w:val="0"/>
      <w:marBottom w:val="0"/>
      <w:divBdr>
        <w:top w:val="none" w:sz="0" w:space="0" w:color="auto"/>
        <w:left w:val="none" w:sz="0" w:space="0" w:color="auto"/>
        <w:bottom w:val="none" w:sz="0" w:space="0" w:color="auto"/>
        <w:right w:val="none" w:sz="0" w:space="0" w:color="auto"/>
      </w:divBdr>
    </w:div>
    <w:div w:id="1501315416">
      <w:bodyDiv w:val="1"/>
      <w:marLeft w:val="0"/>
      <w:marRight w:val="0"/>
      <w:marTop w:val="0"/>
      <w:marBottom w:val="0"/>
      <w:divBdr>
        <w:top w:val="none" w:sz="0" w:space="0" w:color="auto"/>
        <w:left w:val="none" w:sz="0" w:space="0" w:color="auto"/>
        <w:bottom w:val="none" w:sz="0" w:space="0" w:color="auto"/>
        <w:right w:val="none" w:sz="0" w:space="0" w:color="auto"/>
      </w:divBdr>
    </w:div>
    <w:div w:id="17339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org/Research/Budget/bg1733.cfm."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aq.org/publications/In-Depth_GuidetoPublicCompanyAuditing.pdf"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https://learn.umuc.edu/d2l/le/35657/discussions/topics/133727/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Iqbal</dc:creator>
  <cp:keywords/>
  <dc:description/>
  <cp:lastModifiedBy>Mohammed Iqbal</cp:lastModifiedBy>
  <cp:revision>2</cp:revision>
  <dcterms:created xsi:type="dcterms:W3CDTF">2015-08-12T02:15:00Z</dcterms:created>
  <dcterms:modified xsi:type="dcterms:W3CDTF">2015-08-12T02:15:00Z</dcterms:modified>
</cp:coreProperties>
</file>