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55" w:rsidRPr="005C67B8" w:rsidRDefault="001A55D0" w:rsidP="00393655">
      <w:pPr>
        <w:pStyle w:val="APAHeader"/>
        <w:rPr>
          <w:szCs w:val="24"/>
        </w:rPr>
      </w:pPr>
      <w:r>
        <w:rPr>
          <w:szCs w:val="24"/>
        </w:rPr>
        <w:t>S</w:t>
      </w:r>
      <w:r w:rsidR="00EF693D">
        <w:rPr>
          <w:szCs w:val="24"/>
        </w:rPr>
        <w:t>trategic Choice and Evaluation</w:t>
      </w:r>
    </w:p>
    <w:p w:rsidR="001A55D0" w:rsidRDefault="001A55D0" w:rsidP="001A55D0">
      <w:pPr>
        <w:pStyle w:val="APA"/>
        <w:ind w:firstLine="0"/>
      </w:pPr>
      <w:r>
        <w:t>Strategic Choice and Evaluation</w:t>
      </w:r>
    </w:p>
    <w:p w:rsidR="001A55D0" w:rsidRDefault="001A55D0" w:rsidP="001A55D0">
      <w:pPr>
        <w:pStyle w:val="APA"/>
        <w:ind w:firstLine="0"/>
      </w:pPr>
      <w:r>
        <w:t xml:space="preserve">Thanks for sharing your perspective and interpretation regarding this topic. As discussed in class we need to make sure we have a good format to communicate our intentions and our position for strategy. Too often we find ourselves explaining rather than strategizing. In class we discussed the distinction between a grand strategy and a generic strategy. However, within your document we did not emphasize these two and visibly discuss the parameters of each. </w:t>
      </w:r>
    </w:p>
    <w:p w:rsidR="001A55D0" w:rsidRDefault="001A55D0" w:rsidP="001A55D0">
      <w:pPr>
        <w:pStyle w:val="APA"/>
        <w:ind w:firstLine="0"/>
        <w:rPr>
          <w:b/>
          <w:i/>
        </w:rPr>
      </w:pPr>
      <w:r>
        <w:rPr>
          <w:b/>
          <w:i/>
        </w:rPr>
        <w:t>Additional reading:</w:t>
      </w:r>
    </w:p>
    <w:p w:rsidR="001A55D0" w:rsidRDefault="001A55D0" w:rsidP="001A55D0">
      <w:pPr>
        <w:numPr>
          <w:ilvl w:val="0"/>
          <w:numId w:val="1"/>
        </w:numPr>
        <w:spacing w:after="120" w:line="240" w:lineRule="atLeast"/>
        <w:ind w:left="0"/>
        <w:rPr>
          <w:rFonts w:ascii="Arial" w:hAnsi="Arial" w:cs="Arial"/>
          <w:color w:val="000000"/>
          <w:sz w:val="20"/>
          <w:szCs w:val="20"/>
        </w:rPr>
      </w:pPr>
      <w:hyperlink r:id="rId7" w:tgtFrame="_blank" w:tooltip="Generic strategies and performance - Evidence from manufacturing firms." w:history="1">
        <w:proofErr w:type="spellStart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>Nandakumar</w:t>
        </w:r>
        <w:proofErr w:type="spellEnd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 xml:space="preserve">, M. K., </w:t>
        </w:r>
        <w:proofErr w:type="spellStart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>Ghobadian</w:t>
        </w:r>
        <w:proofErr w:type="spellEnd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 xml:space="preserve">, A., &amp; </w:t>
        </w:r>
        <w:proofErr w:type="spellStart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>O'Regan</w:t>
        </w:r>
        <w:proofErr w:type="spellEnd"/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>, N. (2011). Generic strategies and performance - Evidence from manufacturing firms.</w:t>
        </w:r>
        <w:r>
          <w:rPr>
            <w:rStyle w:val="apple-converted-space"/>
            <w:rFonts w:ascii="Arial" w:hAnsi="Arial" w:cs="Arial"/>
            <w:color w:val="094A72"/>
            <w:sz w:val="20"/>
            <w:szCs w:val="20"/>
            <w:u w:val="single"/>
          </w:rPr>
          <w:t> </w:t>
        </w:r>
        <w:r>
          <w:rPr>
            <w:rStyle w:val="Hyperlink"/>
            <w:rFonts w:ascii="Arial" w:hAnsi="Arial" w:cs="Arial"/>
            <w:i/>
            <w:iCs/>
            <w:color w:val="094A72"/>
            <w:sz w:val="20"/>
            <w:szCs w:val="20"/>
          </w:rPr>
          <w:t>International Journal of Productivity and Performance Management,</w:t>
        </w:r>
        <w:r>
          <w:rPr>
            <w:rStyle w:val="apple-converted-space"/>
            <w:rFonts w:ascii="Arial" w:hAnsi="Arial" w:cs="Arial"/>
            <w:i/>
            <w:iCs/>
            <w:color w:val="094A72"/>
            <w:sz w:val="20"/>
            <w:szCs w:val="20"/>
            <w:u w:val="single"/>
          </w:rPr>
          <w:t> </w:t>
        </w:r>
        <w:r>
          <w:rPr>
            <w:rStyle w:val="Hyperlink"/>
            <w:rFonts w:ascii="Arial" w:hAnsi="Arial" w:cs="Arial"/>
            <w:color w:val="094A72"/>
            <w:sz w:val="20"/>
            <w:szCs w:val="20"/>
          </w:rPr>
          <w:t>60(3), 222-251.</w:t>
        </w:r>
      </w:hyperlink>
    </w:p>
    <w:p w:rsidR="001A55D0" w:rsidRDefault="001A55D0" w:rsidP="001A55D0">
      <w:pPr>
        <w:pStyle w:val="APA"/>
        <w:ind w:firstLine="0"/>
      </w:pPr>
    </w:p>
    <w:p w:rsidR="001A55D0" w:rsidRDefault="001A55D0" w:rsidP="001A55D0">
      <w:pPr>
        <w:pStyle w:val="APA"/>
        <w:ind w:firstLine="0"/>
      </w:pPr>
      <w:r>
        <w:t>We had an addition reading that had some very good typologies you could use as frameworks and measurements regarding the strategies you mentioned. I was a bit concerned that we did not establish criteria and typologies for the strategies communicated.</w:t>
      </w:r>
    </w:p>
    <w:p w:rsidR="001A55D0" w:rsidRDefault="001A55D0" w:rsidP="001A55D0">
      <w:pPr>
        <w:pStyle w:val="APA"/>
        <w:ind w:firstLine="0"/>
        <w:rPr>
          <w:b/>
          <w:i/>
        </w:rPr>
      </w:pPr>
      <w:r>
        <w:rPr>
          <w:b/>
          <w:i/>
        </w:rPr>
        <w:t>I am sharing an example from the additional reading provided: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r>
        <w:rPr>
          <w:rFonts w:ascii="AdvPS405B6" w:hAnsi="AdvPS405B6" w:cs="AdvPS405B6"/>
        </w:rPr>
        <w:t xml:space="preserve">Galbraith and </w:t>
      </w:r>
      <w:proofErr w:type="spellStart"/>
      <w:r>
        <w:rPr>
          <w:rFonts w:ascii="AdvPS405B6" w:hAnsi="AdvPS405B6" w:cs="AdvPS405B6"/>
        </w:rPr>
        <w:t>Schendel</w:t>
      </w:r>
      <w:proofErr w:type="spellEnd"/>
      <w:r>
        <w:rPr>
          <w:rFonts w:ascii="AdvPS405B6" w:hAnsi="AdvPS405B6" w:cs="AdvPS405B6"/>
        </w:rPr>
        <w:t xml:space="preserve"> (1983) Strategy types for industrial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proofErr w:type="gramStart"/>
      <w:r>
        <w:rPr>
          <w:rFonts w:ascii="AdvPS405B6" w:hAnsi="AdvPS405B6" w:cs="AdvPS405B6"/>
        </w:rPr>
        <w:t>products</w:t>
      </w:r>
      <w:proofErr w:type="gramEnd"/>
      <w:r>
        <w:rPr>
          <w:rFonts w:ascii="AdvPS405B6" w:hAnsi="AdvPS405B6" w:cs="AdvPS405B6"/>
        </w:rPr>
        <w:t>: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r>
        <w:rPr>
          <w:rFonts w:ascii="AdvPS405B6" w:hAnsi="AdvPS405B6" w:cs="AdvPS405B6"/>
        </w:rPr>
        <w:t xml:space="preserve">(1) Low commitment (1) </w:t>
      </w:r>
      <w:proofErr w:type="gramStart"/>
      <w:r>
        <w:rPr>
          <w:rFonts w:ascii="AdvPS405B6" w:hAnsi="AdvPS405B6" w:cs="AdvPS405B6"/>
        </w:rPr>
        <w:t>This</w:t>
      </w:r>
      <w:proofErr w:type="gramEnd"/>
      <w:r>
        <w:rPr>
          <w:rFonts w:ascii="AdvPS405B6" w:hAnsi="AdvPS405B6" w:cs="AdvPS405B6"/>
        </w:rPr>
        <w:t xml:space="preserve"> is a strategy of low commitment. This strategy type coincides with the harvest strategy type for consumer products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r>
        <w:rPr>
          <w:rFonts w:ascii="AdvPS405B6" w:hAnsi="AdvPS405B6" w:cs="AdvPS405B6"/>
        </w:rPr>
        <w:t>(2) Growth (2) A growth strategy for firms with a strong commitment to their products. Investment is very high and there is a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proofErr w:type="gramStart"/>
      <w:r>
        <w:rPr>
          <w:rFonts w:ascii="AdvPS405B6" w:hAnsi="AdvPS405B6" w:cs="AdvPS405B6"/>
        </w:rPr>
        <w:t>strong</w:t>
      </w:r>
      <w:proofErr w:type="gramEnd"/>
      <w:r>
        <w:rPr>
          <w:rFonts w:ascii="AdvPS405B6" w:hAnsi="AdvPS405B6" w:cs="AdvPS405B6"/>
        </w:rPr>
        <w:t xml:space="preserve"> commitment to expand market position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r>
        <w:rPr>
          <w:rFonts w:ascii="AdvPS405B6" w:hAnsi="AdvPS405B6" w:cs="AdvPS405B6"/>
        </w:rPr>
        <w:t xml:space="preserve">(3) Maintenance (3) </w:t>
      </w:r>
      <w:proofErr w:type="gramStart"/>
      <w:r>
        <w:rPr>
          <w:rFonts w:ascii="AdvPS405B6" w:hAnsi="AdvPS405B6" w:cs="AdvPS405B6"/>
        </w:rPr>
        <w:t>This</w:t>
      </w:r>
      <w:proofErr w:type="gramEnd"/>
      <w:r>
        <w:rPr>
          <w:rFonts w:ascii="AdvPS405B6" w:hAnsi="AdvPS405B6" w:cs="AdvPS405B6"/>
        </w:rPr>
        <w:t xml:space="preserve"> is a hybrid strategy combining the characteristics of a continuity strategy with those of a cost reduction strategy</w:t>
      </w:r>
    </w:p>
    <w:p w:rsidR="001A55D0" w:rsidRDefault="001A55D0" w:rsidP="001A55D0">
      <w:pPr>
        <w:autoSpaceDE w:val="0"/>
        <w:autoSpaceDN w:val="0"/>
        <w:adjustRightInd w:val="0"/>
      </w:pPr>
      <w:r>
        <w:rPr>
          <w:rFonts w:ascii="AdvPS405B6" w:hAnsi="AdvPS405B6" w:cs="AdvPS405B6"/>
        </w:rPr>
        <w:t xml:space="preserve">(4) Niche or </w:t>
      </w:r>
      <w:proofErr w:type="spellStart"/>
      <w:r>
        <w:rPr>
          <w:rFonts w:ascii="AdvPS405B6" w:hAnsi="AdvPS405B6" w:cs="AdvPS405B6"/>
        </w:rPr>
        <w:t>specialisation</w:t>
      </w:r>
      <w:proofErr w:type="spellEnd"/>
      <w:r>
        <w:rPr>
          <w:rFonts w:ascii="AdvPS405B6" w:hAnsi="AdvPS405B6" w:cs="AdvPS405B6"/>
        </w:rPr>
        <w:t xml:space="preserve"> (4) </w:t>
      </w:r>
      <w:proofErr w:type="spellStart"/>
      <w:r>
        <w:rPr>
          <w:rFonts w:ascii="AdvPS405B6" w:hAnsi="AdvPS405B6" w:cs="AdvPS405B6"/>
        </w:rPr>
        <w:t>Specialisation</w:t>
      </w:r>
      <w:proofErr w:type="spellEnd"/>
      <w:r>
        <w:rPr>
          <w:rFonts w:ascii="AdvPS405B6" w:hAnsi="AdvPS405B6" w:cs="AdvPS405B6"/>
        </w:rPr>
        <w:t xml:space="preserve"> strategy similar to that of consumer goods </w:t>
      </w:r>
      <w:proofErr w:type="spellStart"/>
      <w:r>
        <w:rPr>
          <w:rFonts w:ascii="AdvPS405B6" w:hAnsi="AdvPS405B6" w:cs="AdvPS405B6"/>
        </w:rPr>
        <w:t>organisations</w:t>
      </w:r>
      <w:proofErr w:type="spellEnd"/>
      <w:r>
        <w:rPr>
          <w:rFonts w:ascii="AdvPS405B6" w:hAnsi="AdvPS405B6" w:cs="AdvPS405B6"/>
        </w:rPr>
        <w:t xml:space="preserve">. Superior quality posture, </w:t>
      </w:r>
      <w:proofErr w:type="gramStart"/>
      <w:r>
        <w:rPr>
          <w:rFonts w:ascii="AdvPS405B6" w:hAnsi="AdvPS405B6" w:cs="AdvPS405B6"/>
        </w:rPr>
        <w:t>high  pricing</w:t>
      </w:r>
      <w:proofErr w:type="gramEnd"/>
      <w:r>
        <w:rPr>
          <w:rFonts w:ascii="AdvPS405B6" w:hAnsi="AdvPS405B6" w:cs="AdvPS405B6"/>
        </w:rPr>
        <w:t xml:space="preserve"> policies and narrow product line with only marginal emphasis on promotional activities are some of the characteristics of this strategy</w:t>
      </w:r>
    </w:p>
    <w:p w:rsidR="001A55D0" w:rsidRDefault="001A55D0" w:rsidP="001A55D0">
      <w:pPr>
        <w:pStyle w:val="APA"/>
        <w:ind w:firstLine="0"/>
        <w:rPr>
          <w:szCs w:val="24"/>
        </w:rPr>
      </w:pPr>
    </w:p>
    <w:p w:rsidR="001A55D0" w:rsidRDefault="001A55D0" w:rsidP="001A55D0">
      <w:pPr>
        <w:pStyle w:val="APA"/>
        <w:ind w:firstLine="0"/>
        <w:rPr>
          <w:b/>
          <w:i/>
          <w:szCs w:val="24"/>
        </w:rPr>
      </w:pPr>
    </w:p>
    <w:p w:rsidR="001A55D0" w:rsidRDefault="001A55D0" w:rsidP="001A55D0">
      <w:pPr>
        <w:pStyle w:val="APA"/>
        <w:ind w:firstLine="0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Which approach are you taking towards developing the strategy needs to be stated as </w:t>
      </w:r>
      <w:proofErr w:type="gramStart"/>
      <w:r>
        <w:rPr>
          <w:b/>
          <w:i/>
          <w:szCs w:val="24"/>
        </w:rPr>
        <w:t>well:</w:t>
      </w:r>
      <w:proofErr w:type="gramEnd"/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r>
        <w:rPr>
          <w:rFonts w:ascii="AdvPS405B6" w:hAnsi="AdvPS405B6" w:cs="AdvPS405B6"/>
        </w:rPr>
        <w:t xml:space="preserve">In the self-typing approach, senior managers of the </w:t>
      </w:r>
      <w:proofErr w:type="spellStart"/>
      <w:r>
        <w:rPr>
          <w:rFonts w:ascii="AdvPS405B6" w:hAnsi="AdvPS405B6" w:cs="AdvPS405B6"/>
        </w:rPr>
        <w:t>organisation</w:t>
      </w:r>
      <w:proofErr w:type="spellEnd"/>
      <w:r>
        <w:rPr>
          <w:rFonts w:ascii="AdvPS405B6" w:hAnsi="AdvPS405B6" w:cs="AdvPS405B6"/>
        </w:rPr>
        <w:t xml:space="preserve"> are asked to </w:t>
      </w:r>
      <w:proofErr w:type="spellStart"/>
      <w:r>
        <w:rPr>
          <w:rFonts w:ascii="AdvPS405B6" w:hAnsi="AdvPS405B6" w:cs="AdvPS405B6"/>
        </w:rPr>
        <w:t>characterise</w:t>
      </w:r>
      <w:proofErr w:type="spellEnd"/>
      <w:r>
        <w:rPr>
          <w:rFonts w:ascii="AdvPS405B6" w:hAnsi="AdvPS405B6" w:cs="AdvPS405B6"/>
        </w:rPr>
        <w:t xml:space="preserve"> the </w:t>
      </w:r>
      <w:proofErr w:type="spellStart"/>
      <w:r>
        <w:rPr>
          <w:rFonts w:ascii="AdvPS405B6" w:hAnsi="AdvPS405B6" w:cs="AdvPS405B6"/>
        </w:rPr>
        <w:t>organisation’s</w:t>
      </w:r>
      <w:proofErr w:type="spellEnd"/>
      <w:r>
        <w:rPr>
          <w:rFonts w:ascii="AdvPS405B6" w:hAnsi="AdvPS405B6" w:cs="AdvPS405B6"/>
        </w:rPr>
        <w:t xml:space="preserve"> strategies. According to Conant </w:t>
      </w:r>
      <w:r>
        <w:rPr>
          <w:rFonts w:ascii="AdvPS405B7" w:hAnsi="AdvPS405B7" w:cs="AdvPS405B7"/>
        </w:rPr>
        <w:t xml:space="preserve">et al. </w:t>
      </w:r>
      <w:r>
        <w:rPr>
          <w:rFonts w:ascii="AdvPS405B6" w:hAnsi="AdvPS405B6" w:cs="AdvPS405B6"/>
        </w:rPr>
        <w:t xml:space="preserve">(1990) there could be two types of self-typing. In the normal self-typing approach, respondents are asked to classify their </w:t>
      </w:r>
      <w:proofErr w:type="spellStart"/>
      <w:r>
        <w:rPr>
          <w:rFonts w:ascii="AdvPS405B6" w:hAnsi="AdvPS405B6" w:cs="AdvPS405B6"/>
        </w:rPr>
        <w:t>organisation</w:t>
      </w:r>
      <w:proofErr w:type="spellEnd"/>
      <w:r>
        <w:rPr>
          <w:rFonts w:ascii="AdvPS405B6" w:hAnsi="AdvPS405B6" w:cs="AdvPS405B6"/>
        </w:rPr>
        <w:t xml:space="preserve"> as a particular strategic type based on paragraph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  <w:proofErr w:type="gramStart"/>
      <w:r>
        <w:rPr>
          <w:rFonts w:ascii="AdvPS405B6" w:hAnsi="AdvPS405B6" w:cs="AdvPS405B6"/>
        </w:rPr>
        <w:t>descriptions</w:t>
      </w:r>
      <w:proofErr w:type="gramEnd"/>
      <w:r>
        <w:rPr>
          <w:rFonts w:ascii="AdvPS405B6" w:hAnsi="AdvPS405B6" w:cs="AdvPS405B6"/>
        </w:rPr>
        <w:t xml:space="preserve"> of various strategy typologies explained earlier. The other one is the self-typing approach complemented by investigator-specified decision rules. In this approach, the extent to which a firm’s strategy is conformed to a particular strategic type is assessed using multi-item Likert-type scales intended to measure each of the strategic types in a particular typology.</w:t>
      </w:r>
    </w:p>
    <w:p w:rsidR="001A55D0" w:rsidRDefault="001A55D0" w:rsidP="001A55D0">
      <w:pPr>
        <w:autoSpaceDE w:val="0"/>
        <w:autoSpaceDN w:val="0"/>
        <w:adjustRightInd w:val="0"/>
        <w:rPr>
          <w:rFonts w:ascii="AdvPS405B6" w:hAnsi="AdvPS405B6" w:cs="AdvPS405B6"/>
        </w:rPr>
      </w:pPr>
    </w:p>
    <w:p w:rsidR="001A55D0" w:rsidRDefault="001A55D0" w:rsidP="001A55D0">
      <w:pPr>
        <w:pStyle w:val="APAHeader"/>
        <w:rPr>
          <w:szCs w:val="24"/>
        </w:rPr>
      </w:pPr>
      <w:r>
        <w:rPr>
          <w:rFonts w:ascii="AdvPS405B6" w:hAnsi="AdvPS405B6" w:cs="AdvPS405B6"/>
        </w:rPr>
        <w:t xml:space="preserve">In the external assessment approach, the self-typing measures of strategy are confirmed by obtaining the ratings of individuals external to the </w:t>
      </w:r>
      <w:proofErr w:type="spellStart"/>
      <w:r>
        <w:rPr>
          <w:rFonts w:ascii="AdvPS405B6" w:hAnsi="AdvPS405B6" w:cs="AdvPS405B6"/>
        </w:rPr>
        <w:t>organisation</w:t>
      </w:r>
      <w:proofErr w:type="spellEnd"/>
      <w:r>
        <w:rPr>
          <w:rFonts w:ascii="AdvPS405B6" w:hAnsi="AdvPS405B6" w:cs="AdvPS405B6"/>
        </w:rPr>
        <w:t xml:space="preserve"> like competitors, consultants, industry analysts and expert panels. While using objective indicators, there is no reliance on the perceptions of either the managers of the </w:t>
      </w:r>
      <w:proofErr w:type="spellStart"/>
      <w:r>
        <w:rPr>
          <w:rFonts w:ascii="AdvPS405B6" w:hAnsi="AdvPS405B6" w:cs="AdvPS405B6"/>
        </w:rPr>
        <w:t>organisation</w:t>
      </w:r>
      <w:proofErr w:type="spellEnd"/>
      <w:r>
        <w:rPr>
          <w:rFonts w:ascii="AdvPS405B6" w:hAnsi="AdvPS405B6" w:cs="AdvPS405B6"/>
        </w:rPr>
        <w:t xml:space="preserve"> or external individuals. Instead the objective indicators approach uses quantifiable published data</w:t>
      </w:r>
    </w:p>
    <w:p w:rsidR="00EF693D" w:rsidRPr="00315A22" w:rsidRDefault="00EF693D" w:rsidP="00EF693D">
      <w:pPr>
        <w:spacing w:line="480" w:lineRule="auto"/>
        <w:ind w:left="720" w:hanging="720"/>
      </w:pPr>
      <w:bookmarkStart w:id="0" w:name="_GoBack"/>
      <w:bookmarkEnd w:id="0"/>
    </w:p>
    <w:sectPr w:rsidR="00EF693D" w:rsidRPr="00315A22" w:rsidSect="00AB3696">
      <w:headerReference w:type="default" r:id="rId8"/>
      <w:head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D1" w:rsidRDefault="00972AD1" w:rsidP="00393655">
      <w:r>
        <w:separator/>
      </w:r>
    </w:p>
  </w:endnote>
  <w:endnote w:type="continuationSeparator" w:id="0">
    <w:p w:rsidR="00972AD1" w:rsidRDefault="00972AD1" w:rsidP="0039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405B6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405B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D1" w:rsidRDefault="00972AD1" w:rsidP="00393655">
      <w:r>
        <w:separator/>
      </w:r>
    </w:p>
  </w:footnote>
  <w:footnote w:type="continuationSeparator" w:id="0">
    <w:p w:rsidR="00972AD1" w:rsidRDefault="00972AD1" w:rsidP="0039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424"/>
      <w:gridCol w:w="936"/>
    </w:tblGrid>
    <w:tr w:rsidR="0001026C" w:rsidTr="00AB3696">
      <w:tc>
        <w:tcPr>
          <w:tcW w:w="4500" w:type="pct"/>
          <w:shd w:val="clear" w:color="auto" w:fill="auto"/>
        </w:tcPr>
        <w:p w:rsidR="00AB3696" w:rsidRPr="00AB3696" w:rsidRDefault="00EF693D" w:rsidP="00EF693D">
          <w:pPr>
            <w:pStyle w:val="Header"/>
          </w:pPr>
          <w:r>
            <w:t>STRATEGIC CHOICE AND EVALUATION</w:t>
          </w:r>
        </w:p>
      </w:tc>
      <w:tc>
        <w:tcPr>
          <w:tcW w:w="2500" w:type="pct"/>
          <w:shd w:val="clear" w:color="auto" w:fill="auto"/>
        </w:tcPr>
        <w:p w:rsidR="00AB3696" w:rsidRDefault="00632A43" w:rsidP="00AB3696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55D0">
            <w:rPr>
              <w:noProof/>
            </w:rPr>
            <w:t>2</w:t>
          </w:r>
          <w:r>
            <w:fldChar w:fldCharType="end"/>
          </w:r>
        </w:p>
        <w:p w:rsidR="00AB3696" w:rsidRDefault="00972AD1" w:rsidP="00AB3696">
          <w:pPr>
            <w:pStyle w:val="Header"/>
          </w:pPr>
        </w:p>
      </w:tc>
    </w:tr>
  </w:tbl>
  <w:p w:rsidR="00AB3696" w:rsidRPr="00AB3696" w:rsidRDefault="00972AD1" w:rsidP="00AB36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8424"/>
      <w:gridCol w:w="936"/>
    </w:tblGrid>
    <w:tr w:rsidR="0001026C" w:rsidTr="00AB3696">
      <w:tc>
        <w:tcPr>
          <w:tcW w:w="4500" w:type="pct"/>
          <w:shd w:val="clear" w:color="auto" w:fill="auto"/>
        </w:tcPr>
        <w:p w:rsidR="00AB3696" w:rsidRPr="00AB3696" w:rsidRDefault="00632A43" w:rsidP="00EF693D">
          <w:pPr>
            <w:pStyle w:val="Header"/>
          </w:pPr>
          <w:bookmarkStart w:id="1" w:name="bkTitleRunningHead"/>
          <w:r w:rsidRPr="00AB3696">
            <w:t xml:space="preserve">Running head: </w:t>
          </w:r>
          <w:bookmarkEnd w:id="1"/>
          <w:r w:rsidR="00EF693D">
            <w:t>STRATEGIC CHOICE AND EVALUATION</w:t>
          </w:r>
        </w:p>
      </w:tc>
      <w:tc>
        <w:tcPr>
          <w:tcW w:w="2500" w:type="pct"/>
          <w:shd w:val="clear" w:color="auto" w:fill="auto"/>
        </w:tcPr>
        <w:p w:rsidR="00AB3696" w:rsidRDefault="00632A43" w:rsidP="00AB3696">
          <w:pPr>
            <w:pStyle w:val="Header"/>
            <w:jc w:val="right"/>
          </w:pPr>
          <w:r>
            <w:t xml:space="preserve">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A55D0">
            <w:rPr>
              <w:noProof/>
            </w:rPr>
            <w:t>1</w:t>
          </w:r>
          <w:r>
            <w:fldChar w:fldCharType="end"/>
          </w:r>
        </w:p>
        <w:p w:rsidR="00AB3696" w:rsidRDefault="00972AD1" w:rsidP="00AB3696">
          <w:pPr>
            <w:pStyle w:val="Header"/>
          </w:pPr>
        </w:p>
      </w:tc>
    </w:tr>
  </w:tbl>
  <w:p w:rsidR="00AB3696" w:rsidRPr="00AB3696" w:rsidRDefault="00972AD1" w:rsidP="00AB36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31C1C"/>
    <w:multiLevelType w:val="multilevel"/>
    <w:tmpl w:val="10D8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55"/>
    <w:rsid w:val="00036F7E"/>
    <w:rsid w:val="000375A6"/>
    <w:rsid w:val="00043C03"/>
    <w:rsid w:val="00044082"/>
    <w:rsid w:val="0005203A"/>
    <w:rsid w:val="00062848"/>
    <w:rsid w:val="0006624A"/>
    <w:rsid w:val="00070893"/>
    <w:rsid w:val="000807EC"/>
    <w:rsid w:val="000A1C4A"/>
    <w:rsid w:val="000C2629"/>
    <w:rsid w:val="000D5CDA"/>
    <w:rsid w:val="000E465D"/>
    <w:rsid w:val="000F1971"/>
    <w:rsid w:val="000F60CB"/>
    <w:rsid w:val="00140514"/>
    <w:rsid w:val="001A55D0"/>
    <w:rsid w:val="001C73AC"/>
    <w:rsid w:val="001E6960"/>
    <w:rsid w:val="00215E25"/>
    <w:rsid w:val="0023397E"/>
    <w:rsid w:val="002431D2"/>
    <w:rsid w:val="00274340"/>
    <w:rsid w:val="00284CC7"/>
    <w:rsid w:val="002A6598"/>
    <w:rsid w:val="002C6D39"/>
    <w:rsid w:val="002E16AA"/>
    <w:rsid w:val="002E31C3"/>
    <w:rsid w:val="002F3366"/>
    <w:rsid w:val="003751CF"/>
    <w:rsid w:val="00393655"/>
    <w:rsid w:val="00395D6A"/>
    <w:rsid w:val="003A4734"/>
    <w:rsid w:val="003D5EAA"/>
    <w:rsid w:val="003E48B9"/>
    <w:rsid w:val="003F780C"/>
    <w:rsid w:val="00402673"/>
    <w:rsid w:val="0041760A"/>
    <w:rsid w:val="0043012E"/>
    <w:rsid w:val="00436BC1"/>
    <w:rsid w:val="00442A96"/>
    <w:rsid w:val="00460A9B"/>
    <w:rsid w:val="004F3336"/>
    <w:rsid w:val="004F6DEF"/>
    <w:rsid w:val="00522246"/>
    <w:rsid w:val="005504F4"/>
    <w:rsid w:val="00565372"/>
    <w:rsid w:val="00595C60"/>
    <w:rsid w:val="005A3D91"/>
    <w:rsid w:val="005D1165"/>
    <w:rsid w:val="005E0CF9"/>
    <w:rsid w:val="005F50DB"/>
    <w:rsid w:val="006003B6"/>
    <w:rsid w:val="0062246F"/>
    <w:rsid w:val="00622C7B"/>
    <w:rsid w:val="00632A43"/>
    <w:rsid w:val="00652BEF"/>
    <w:rsid w:val="00687D1A"/>
    <w:rsid w:val="006A52BE"/>
    <w:rsid w:val="006B5E5D"/>
    <w:rsid w:val="006C6E8E"/>
    <w:rsid w:val="006F2A55"/>
    <w:rsid w:val="00705784"/>
    <w:rsid w:val="00727C82"/>
    <w:rsid w:val="00744307"/>
    <w:rsid w:val="00782725"/>
    <w:rsid w:val="00783E40"/>
    <w:rsid w:val="0078489C"/>
    <w:rsid w:val="00787E8F"/>
    <w:rsid w:val="007A0464"/>
    <w:rsid w:val="007C5DAE"/>
    <w:rsid w:val="007F39B3"/>
    <w:rsid w:val="007F7ECC"/>
    <w:rsid w:val="00804A7A"/>
    <w:rsid w:val="00806DA1"/>
    <w:rsid w:val="00855A13"/>
    <w:rsid w:val="0086483E"/>
    <w:rsid w:val="008805DB"/>
    <w:rsid w:val="008A7CE9"/>
    <w:rsid w:val="008B1F9D"/>
    <w:rsid w:val="008C4E1E"/>
    <w:rsid w:val="008C7084"/>
    <w:rsid w:val="0092025F"/>
    <w:rsid w:val="009351EE"/>
    <w:rsid w:val="009523C5"/>
    <w:rsid w:val="00972AD1"/>
    <w:rsid w:val="009803B0"/>
    <w:rsid w:val="00990A78"/>
    <w:rsid w:val="009B048E"/>
    <w:rsid w:val="009C1D64"/>
    <w:rsid w:val="009C2976"/>
    <w:rsid w:val="009C7348"/>
    <w:rsid w:val="009D723B"/>
    <w:rsid w:val="009E3D98"/>
    <w:rsid w:val="00A15CF6"/>
    <w:rsid w:val="00A17E83"/>
    <w:rsid w:val="00A6105C"/>
    <w:rsid w:val="00AA4E0A"/>
    <w:rsid w:val="00AC57A6"/>
    <w:rsid w:val="00AF10C0"/>
    <w:rsid w:val="00B27BF9"/>
    <w:rsid w:val="00B37AB5"/>
    <w:rsid w:val="00B643C8"/>
    <w:rsid w:val="00B77BDF"/>
    <w:rsid w:val="00B84530"/>
    <w:rsid w:val="00BE2173"/>
    <w:rsid w:val="00BF33A6"/>
    <w:rsid w:val="00C01A70"/>
    <w:rsid w:val="00C24166"/>
    <w:rsid w:val="00C5614D"/>
    <w:rsid w:val="00C661F5"/>
    <w:rsid w:val="00C676A0"/>
    <w:rsid w:val="00C81F6F"/>
    <w:rsid w:val="00CD587D"/>
    <w:rsid w:val="00CF5F65"/>
    <w:rsid w:val="00D17292"/>
    <w:rsid w:val="00D21D93"/>
    <w:rsid w:val="00D54AAA"/>
    <w:rsid w:val="00D6758F"/>
    <w:rsid w:val="00D722AF"/>
    <w:rsid w:val="00DA4D0E"/>
    <w:rsid w:val="00DD0F41"/>
    <w:rsid w:val="00DD6999"/>
    <w:rsid w:val="00DF02F2"/>
    <w:rsid w:val="00DF25BC"/>
    <w:rsid w:val="00DF66DA"/>
    <w:rsid w:val="00DF6C65"/>
    <w:rsid w:val="00E33DCC"/>
    <w:rsid w:val="00E42555"/>
    <w:rsid w:val="00E5432D"/>
    <w:rsid w:val="00E54EC5"/>
    <w:rsid w:val="00E67031"/>
    <w:rsid w:val="00E771A7"/>
    <w:rsid w:val="00E86893"/>
    <w:rsid w:val="00EA05FE"/>
    <w:rsid w:val="00EB4453"/>
    <w:rsid w:val="00EC3D7B"/>
    <w:rsid w:val="00EC3F9E"/>
    <w:rsid w:val="00EC4781"/>
    <w:rsid w:val="00EC50CF"/>
    <w:rsid w:val="00EC6E0E"/>
    <w:rsid w:val="00ED7768"/>
    <w:rsid w:val="00EF693D"/>
    <w:rsid w:val="00EF79A7"/>
    <w:rsid w:val="00F12FAE"/>
    <w:rsid w:val="00F25F68"/>
    <w:rsid w:val="00F27AE6"/>
    <w:rsid w:val="00F71870"/>
    <w:rsid w:val="00F97628"/>
    <w:rsid w:val="00FC17D4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14EE1-BFA9-4B64-9ACA-648CBAD9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rsid w:val="00393655"/>
    <w:pPr>
      <w:overflowPunct w:val="0"/>
      <w:autoSpaceDE w:val="0"/>
      <w:autoSpaceDN w:val="0"/>
      <w:adjustRightInd w:val="0"/>
      <w:spacing w:after="0" w:line="480" w:lineRule="auto"/>
      <w:ind w:firstLine="720"/>
      <w:textAlignment w:val="baseline"/>
    </w:pPr>
    <w:rPr>
      <w:szCs w:val="20"/>
    </w:rPr>
  </w:style>
  <w:style w:type="paragraph" w:customStyle="1" w:styleId="APAHeader">
    <w:name w:val="APA Header"/>
    <w:basedOn w:val="APA"/>
    <w:next w:val="APA"/>
    <w:rsid w:val="00393655"/>
    <w:pPr>
      <w:ind w:firstLine="0"/>
      <w:jc w:val="center"/>
    </w:pPr>
  </w:style>
  <w:style w:type="paragraph" w:styleId="Header">
    <w:name w:val="header"/>
    <w:basedOn w:val="Normal"/>
    <w:link w:val="HeaderChar"/>
    <w:rsid w:val="0039365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93655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393655"/>
    <w:rPr>
      <w:i/>
      <w:iCs/>
    </w:rPr>
  </w:style>
  <w:style w:type="character" w:customStyle="1" w:styleId="tgc">
    <w:name w:val="_tgc"/>
    <w:basedOn w:val="DefaultParagraphFont"/>
    <w:rsid w:val="00393655"/>
  </w:style>
  <w:style w:type="paragraph" w:styleId="BodyText">
    <w:name w:val="Body Text"/>
    <w:basedOn w:val="Normal"/>
    <w:link w:val="BodyTextChar"/>
    <w:uiPriority w:val="99"/>
    <w:semiHidden/>
    <w:unhideWhenUsed/>
    <w:rsid w:val="003936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36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655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6893"/>
    <w:pPr>
      <w:spacing w:after="150"/>
    </w:pPr>
  </w:style>
  <w:style w:type="character" w:styleId="Hyperlink">
    <w:name w:val="Hyperlink"/>
    <w:basedOn w:val="DefaultParagraphFont"/>
    <w:uiPriority w:val="99"/>
    <w:unhideWhenUsed/>
    <w:rsid w:val="00E868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proquest.com.contentproxy.phoenix.edu/docview/855079495/fulltextPDF/13C785375BE1A6804A7/2?accountid=358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James J CIV CNRSE HQ, N92</dc:creator>
  <cp:lastModifiedBy>joyce derry</cp:lastModifiedBy>
  <cp:revision>4</cp:revision>
  <dcterms:created xsi:type="dcterms:W3CDTF">2015-06-27T02:15:00Z</dcterms:created>
  <dcterms:modified xsi:type="dcterms:W3CDTF">2015-06-27T02:17:00Z</dcterms:modified>
</cp:coreProperties>
</file>