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6A428F" w:rsidRPr="006A428F" w:rsidTr="006A428F">
        <w:trPr>
          <w:tblCellSpacing w:w="0" w:type="dxa"/>
        </w:trPr>
        <w:tc>
          <w:tcPr>
            <w:tcW w:w="3750" w:type="pct"/>
            <w:shd w:val="clear" w:color="auto" w:fill="000080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A428F" w:rsidRPr="006A428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A428F" w:rsidRPr="006A428F" w:rsidRDefault="006A428F" w:rsidP="006A428F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color w:val="000080"/>
                      <w:sz w:val="36"/>
                      <w:szCs w:val="36"/>
                    </w:rPr>
                    <w:t>An Exposition of Constructivism:</w:t>
                  </w:r>
                  <w:r w:rsidRPr="006A428F">
                    <w:rPr>
                      <w:rFonts w:ascii="Arial" w:eastAsia="Times New Roman" w:hAnsi="Arial" w:cs="Arial"/>
                      <w:color w:val="000080"/>
                      <w:sz w:val="36"/>
                      <w:szCs w:val="36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color w:val="000080"/>
                      <w:sz w:val="36"/>
                      <w:szCs w:val="36"/>
                    </w:rPr>
                    <w:t>Why Some Like it Radical</w:t>
                  </w:r>
                  <w:r w:rsidRPr="006A428F">
                    <w:rPr>
                      <w:rFonts w:ascii="Arial" w:eastAsia="Times New Roman" w:hAnsi="Arial" w:cs="Arial"/>
                      <w:color w:val="000080"/>
                      <w:sz w:val="36"/>
                      <w:szCs w:val="36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Ernst von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7"/>
                      <w:szCs w:val="27"/>
                    </w:rPr>
                    <w:t>Glasersfeld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Scientific Reasoning Research Institute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University of Massachusetts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4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8"/>
                  </w:tblGrid>
                  <w:tr w:rsidR="006A428F" w:rsidRPr="006A428F" w:rsidTr="006A428F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back1"/>
                        <w:r w:rsidRPr="006A428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Man</w:t>
                        </w:r>
                        <w:bookmarkEnd w:id="0"/>
                        <w:r w:rsidRPr="006A428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, having within himself an imagined World of lines and</w:t>
                        </w:r>
                        <w:r w:rsidRPr="006A428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  <w:lang w:val="it-IT"/>
                          </w:rPr>
                          <w:t xml:space="preserve"> </w:t>
                        </w:r>
                        <w:r w:rsidRPr="006A428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numbers, operates in it with abstractions, just as God,</w:t>
                        </w:r>
                        <w:r w:rsidRPr="006A428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  <w:lang w:val="it-IT"/>
                          </w:rPr>
                          <w:t xml:space="preserve"> </w:t>
                        </w:r>
                        <w:r w:rsidRPr="006A428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in the universe, did with reality.</w:t>
                        </w:r>
                        <w:hyperlink r:id="rId5" w:anchor="note1" w:history="1">
                          <w:r w:rsidRPr="006A428F">
                            <w:rPr>
                              <w:rFonts w:ascii="Arial" w:eastAsia="Times New Roman" w:hAnsi="Arial" w:cs="Arial"/>
                              <w:color w:val="000080"/>
                              <w:sz w:val="24"/>
                              <w:szCs w:val="24"/>
                              <w:u w:val="single"/>
                              <w:vertAlign w:val="superscript"/>
                              <w:lang w:val="it-IT"/>
                            </w:rPr>
                            <w:t>[1]</w:t>
                          </w:r>
                        </w:hyperlink>
                      </w:p>
                    </w:tc>
                  </w:tr>
                  <w:tr w:rsidR="006A428F" w:rsidRPr="006A428F" w:rsidTr="006A428F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A428F" w:rsidRPr="006A428F" w:rsidRDefault="006A428F" w:rsidP="006A428F">
                        <w:pPr>
                          <w:spacing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A428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Giambattista</w:t>
                        </w:r>
                        <w:proofErr w:type="spellEnd"/>
                        <w:r w:rsidRPr="006A428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A428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Vico</w:t>
                        </w:r>
                        <w:proofErr w:type="spellEnd"/>
                      </w:p>
                    </w:tc>
                  </w:tr>
                </w:tbl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back2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When</w:t>
                  </w:r>
                  <w:bookmarkEnd w:id="1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the Neapolitan philosopher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Giambattista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published 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treatise on the construction of knowledge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instrText xml:space="preserve"> HYPERLINK "http://www.oikos.org/constructivism.htm" \l "note2" </w:instrTex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u w:val="single"/>
                      <w:vertAlign w:val="superscript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  <w:r w:rsidRPr="006A428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u w:val="single"/>
                      <w:vertAlign w:val="superscript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it triggered quite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controversy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in the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Giornale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de'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Letterati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d'Italia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one of the most prestigious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scholarly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journals at the time. This was in the years 1710-12. The first reviewer,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who remained anonymous, had carefully read the treatise and was obviously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shocked by the implications it had for traditional epistemology-- all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more so because, as he conceded, the arguments showed great learning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were presented with elegance. He was therefore impelled to question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Vico's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position, and he very politely suggested that one thing was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lacking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in the treatise: the proof that what it </w:t>
                  </w:r>
                  <w:bookmarkStart w:id="2" w:name="back3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asserted</w:t>
                  </w:r>
                  <w:bookmarkEnd w:id="2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was true.</w:t>
                  </w:r>
                  <w:hyperlink r:id="rId6" w:anchor="note3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3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Today,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those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constructivists who are "radical" because they take their theory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knowing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seriously, frequently meet the same objection--except that it 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sometimes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expressed less politely than at the beginning of the 18th century. Now,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less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than then, it is difficult to show the critics that what they demand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i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very thing constructivism must do without. To claim that one's theory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knowing is true, in the traditional sense of representing a state or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feature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 an experiencer-independent world, would be perjury for a radical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constructivist.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One of the central points of the theory is precisely 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this kind of "truth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",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can never be claimed for the knowledge (or any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piece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 it) that human reason produces. To mark this radical departure, I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have in the last few years taken to calling my orientation a theory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knowing rather than a "theory of knowledge". I agree whole-heartedly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w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ith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Noddings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when she says, at the beginning of her contribution to this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volume, that radical constructivism should be "offered as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post-epistemological perspective". One of the consequences of such 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appraisal, however, must be that one does not persist in arguing against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as though it were or purported to be a traditional theory of knowledge.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Another consequence--for me the more important one--is that constructivism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needs to be radical and must explain that one can, indeed, manage without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the traditional notion of Truth. That this task is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possible,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may become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plausible if I trace the sources of some of the ideas that made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enterprise seem desirable.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In retrospect, the path along which I picked up relevant ideas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(somewhat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abbreviated and idealized) led from the early doubts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Pre-Socratics,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via Montaigne, Berkeley,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and Kant, to thinkers who developed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instrumentalism and pragmatism at the turn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of this century,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eventually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to the Italian Operational School and Piaget's genetic epistemology.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The Way of the Sceptics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To Xenophanes (6th century B.C.) we may credit the insight that even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someone succeeded in describing exactly how the world really is, he or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would have no way of </w:t>
                  </w:r>
                  <w:bookmarkStart w:id="3" w:name="back4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knowing</w:t>
                  </w:r>
                  <w:bookmarkEnd w:id="3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that it was the "true" description.</w:t>
                  </w:r>
                  <w:hyperlink r:id="rId7" w:anchor="note4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</w:hyperlink>
                  <w:hyperlink r:id="rId8" w:anchor="note4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4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the major argument the sceptics have repeated for two thousand five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hundred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years. It is based on the assumption that whatever ideas or knowledge we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have must have been derived in some way from our experience, which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includes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sensing, acting, and thinking. If this is the case, we have no way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checking the truth of our knowledge with the world presumed to be lying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beyond our experiential interface, because to do this, we would need 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access to such a world that does not involve our experiencing it.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Plato tried to get around this by claiming that some god had placed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pure ideas inside us and that experience with the fuzzy, imperfect world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senses could only serve to make us "remember" what was really true.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Thus, there would be no need (and no way) to check our knowledge against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independent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external reality. Consequently, in Plato's famous metaphor,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man who is led out of the cave of his commonplace experience is blinded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 splendid vision. But his vision is the pure realm of an interpersonal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soul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and not the fuzzy world perceived by the </w:t>
                  </w:r>
                  <w:bookmarkStart w:id="4" w:name="back5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senses</w:t>
                  </w:r>
                  <w:bookmarkEnd w:id="4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hyperlink r:id="rId9" w:anchor="note5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</w:hyperlink>
                  <w:hyperlink r:id="rId10" w:anchor="note5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5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 xml:space="preserve"> 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From my point of view,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Plato created an ingenious poetic or "metaphysical" myth, but not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rational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theory of knowing.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The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sceptics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position, developed into a school under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Pyrrho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at the end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the next century, was diligently compiled and documented by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Sextus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Empiricus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about 200 A.D. It smoldered under the theological debates of the middle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ages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and burst into full flame in the 16th century when the works of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Sextus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Empiricus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were rediscovered. Descartes set out to put an end to it, but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succeeded only in strengthening the side he was opposing (cf.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Popkin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1979).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The British Empiricists then helped to harden the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sceptical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doctrine by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their detailed analyses. First, Locke discarded the secondary (sensory)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properties of things as sources of "true" information about the real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world.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Then, Berkeley showed that Locke's arguments applied equally to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primary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properties (spatial extension, motion,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number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,etc</w:t>
                  </w:r>
                  <w:proofErr w:type="spellEnd"/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.), and finally Hume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delivered an even more serious blow by attributing the notion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causality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(and other relations that serve to organize experience) to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conceptual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habits of the human knower. The final demolition of realism was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brought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about when Kant suggested that the concepts of space and time were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necessary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forms of human experience, rather than characteristics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universe. This meant that we cannot even imagine what the structure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real world might be like, because whatever we call structure 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necessarily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 arrangement in space, time, or both.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These are extremely uncomfortable arguments. Philosophers have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forever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tried to dismantle them, but they have had little success. The arguments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uncomfortable because they threaten a concept which we feel we cannot do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without. "Knowledge" is something of which we are quite sure that we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have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certain amount, and we are not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prepared to relinquish it. The trouble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i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 throughout the occidental history of ideas and right down to our own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days, two requisites have been considered fundamental in any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epistemological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discussion of knowledge. The first of these requisites demands that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whatever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we would like to call "true knowledge" has to be independent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knowing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subject. The second requisite is that knowledge is to be taken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seriously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only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if it claims to represent a world of "things-in-themselves" in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or less veridical fashion. In other words, it is tacitly taken for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granted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 a fully structured and knowable world "exists" and that it is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business of the cognizing human subject to discover what that structure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The weakness of the sceptics' position lies in its polemical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formulation.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It always sounds as though the traditional epistemologists' definition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knowledge were the only possible one. Hence, when Montaigne says "la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peste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l'homme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c'est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l'opinion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 savoir" (mankind's plague is the conceit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bookmarkStart w:id="5" w:name="back6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knowing</w:t>
                  </w:r>
                  <w:bookmarkEnd w:id="5"/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instrText xml:space="preserve"> HYPERLINK "http://www.oikos.org/constructivism.htm" \l "note6" </w:instrTex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u w:val="single"/>
                      <w:vertAlign w:val="superscript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u w:val="single"/>
                      <w:vertAlign w:val="superscript"/>
                    </w:rPr>
                    <w:t>6</w:t>
                  </w:r>
                  <w:r w:rsidRPr="006A428F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u w:val="single"/>
                      <w:vertAlign w:val="superscript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it sounds as though we ought to give up all knowing. But 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referring to absolutistic claims of experiential knowledge and was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discussing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them in the context of the traditional dogmatic belief that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religious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revelation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is unquestionable. He had in mind absolute truth, and he was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castigating those who claimed that a rational interpretation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experience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(of which "scientific observation" is, after all, a sophisticated form)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would lead to such truth. He certainly did not intend to discredit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kind of know-how that enabled his peasants to make a good wine.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In short, what the sceptics failed to stress was that, though no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truths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about a "real" world could be derived from experience, experience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nevertheless supplied a great deal of useful knowledge.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The Changed Concept of Knowledge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Unbeknownst to Kant, who in the 1780s hammered this limitation in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with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his Critiques of pure and practical reason,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Giambattista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had come 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very similar conclusion in 1710. The human mind can know only what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h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uman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mind has made, was his slogan and, more like Piaget than Kant, he did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not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assume that space and time were necessarily a priori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categories, but suggested that they, too, were human constructs (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1858).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Pursuing this way of thinking, one is led to what I have called "a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reconstruction of the concept of knowledge" (von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Glasersfeld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1985). Some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reconstruction is needed because, on the one hand, one can no longer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maintain that the cognizing activity should or could produce a true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representation of an objective world, and on the other, one does not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want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to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end up with a solipsistic form of idealism. The only way out, then,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would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seem to be a drastic modification of the relation between the cognitive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structures we build up and that "real" world which we are inclined 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assume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as "existing" beyond our perceptual </w:t>
                  </w:r>
                  <w:bookmarkStart w:id="6" w:name="back7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interface</w:t>
                  </w:r>
                  <w:bookmarkEnd w:id="6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hyperlink r:id="rId11" w:anchor="note7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7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Instead of the illusory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relation of "representation", one has to find a way of relating knowledge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reality that does not imply anything like match or correspondence.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Neither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nor Kant explicitly mentioned such a conceptual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alternative.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It was supplied, however, in Darwin's theory of evolution by the concept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fit. Once this relational concept has been stripped of its erroneous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formulation in the slogan "survival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of the fittest" (cf.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Pittendrigh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1958;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von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Glasersfeld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1980), it offers a way around the paradox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traditional theory of knowledge. As far as I know, this was first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suggested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by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Willam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bookmarkStart w:id="7" w:name="back8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James</w:t>
                  </w:r>
                  <w:bookmarkEnd w:id="7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(1880).</w:t>
                  </w:r>
                  <w:hyperlink r:id="rId12" w:anchor="note8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8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Georg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Simmel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(1885) elaborated it,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Aleksandr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Bogdanov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(1909) developed it into a comprehensive instrumentalist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epistemology. Hans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Vaihinger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(1913), who had been working at 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"Philosophy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of As If" since the 1870s and who probably was quite unaware of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reintroduced the idea of conceptual construction.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Piaget's Contribution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Today, in retrospect, these and other authors can be cited 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"sources"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 constructivism. However, the great pioneer of the constructivist theory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knowing today, Jean Piaget started from Kant and arrived at his view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cognition as a biologist who looked at intelligence and knowledge 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biological functions whose development had to be explained and mapped in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ontogeny of organisms.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In interpreting Piaget, it is important to remember that 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publications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range over an astounding variety of topics and are spread over more than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half a </w:t>
                  </w:r>
                  <w:bookmarkStart w:id="8" w:name="back9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century</w:t>
                  </w:r>
                  <w:bookmarkEnd w:id="8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hyperlink r:id="rId13" w:anchor="note9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9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As with any versatile and original thinker, his ideas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not cease to develop and change (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Vuik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1981). It is, therefore, not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surprising that one can spot contradictions in his work. An obvious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instance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is his theory of stages, which was gradually superseded by his theory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equilibration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(cf. Rowell, in press). Thus it is not too difficult 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dismiss Piaget on the strength of one or two quotations; or, what is even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more frequent, on the strength of what superficial summarizers have said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about him. It is also likely that arguments about what Piaget actually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believed will continue and that different scholars will provide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different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interpretations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 In my view, the following basic principles of radical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constructivism emerge quite clearly if one tries to comprise as much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possible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of Piaget's writings in one coherent theory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−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but I would argue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these principles even if they could be shown to diverge from Piaget's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thinking.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 </w:t>
                  </w:r>
                </w:p>
                <w:tbl>
                  <w:tblPr>
                    <w:tblW w:w="0" w:type="auto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"/>
                    <w:gridCol w:w="400"/>
                    <w:gridCol w:w="7271"/>
                  </w:tblGrid>
                  <w:tr w:rsidR="006A428F" w:rsidRPr="006A428F" w:rsidTr="006A428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</w:t>
                        </w: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- 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Knowledge is not passively received either through the senses or by</w:t>
                        </w: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way of communication;</w:t>
                        </w:r>
                      </w:p>
                    </w:tc>
                  </w:tr>
                  <w:tr w:rsidR="006A428F" w:rsidRPr="006A428F" w:rsidTr="006A428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- b)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knowledge</w:t>
                        </w:r>
                        <w:proofErr w:type="gramEnd"/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is actively built up by the cognizing subject.</w:t>
                        </w: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it-IT"/>
                          </w:rPr>
                          <w:t> </w:t>
                        </w:r>
                      </w:p>
                    </w:tc>
                  </w:tr>
                  <w:tr w:rsidR="006A428F" w:rsidRPr="006A428F" w:rsidTr="006A428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</w:t>
                        </w: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- 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 function of cognition is adaptive, in the biological sense of</w:t>
                        </w: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the term, tending towards fit or viability;</w:t>
                        </w:r>
                      </w:p>
                    </w:tc>
                  </w:tr>
                  <w:tr w:rsidR="006A428F" w:rsidRPr="006A428F" w:rsidTr="006A428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- b)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A428F" w:rsidRPr="006A428F" w:rsidRDefault="006A428F" w:rsidP="006A42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cognition</w:t>
                        </w:r>
                        <w:proofErr w:type="gramEnd"/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serves the subject's organization of the experiential</w:t>
                        </w:r>
                        <w:r w:rsidRPr="006A428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  <w:t>world, not the discovery of an objective ontological reality.</w:t>
                        </w:r>
                      </w:p>
                    </w:tc>
                  </w:tr>
                </w:tbl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One cannot adopt these principles casually. If taken seriously, they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incompatible with the traditional notions of knowledge, truth,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objectivity, and they require a radical reconstruction of one's concept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reality. Instead of an inaccessible realm beyond perception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cognition,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it now becomes the experiential world we actually live in. This world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not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 unchanging independent structure, but the result of distinctions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generate a physical and a social environment to which, in turn, we adapt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best we can.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Consequently, one cannot adopt the constructivist principles as 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absolute truth, but only as a working hypothesis that may or may not turn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out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to be viable. This is the main reason why the constructivist orientation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unequivocally post-epistemological (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Noddings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this volume).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The Concept of Viability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To relinquish the inveterate belief that knowledge must eventually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represent something that lies beyond our experience is, indeed,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frightening step to take. It constitutes a feat of decentering that 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even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more demanding than the one accomplished by a few outstanding thinkers in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16th century who realized that the earth was not the center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universe. Because it goes against an age-old habit, it is immensely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difficult to accept that, no matter how well we can predict the results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certain actions we take or the "effects" of certain "causes" we observe,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this must never be interpreted as a proof that we have discovered how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"real" </w:t>
                  </w:r>
                  <w:bookmarkStart w:id="9" w:name="back10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world</w:t>
                  </w:r>
                  <w:bookmarkEnd w:id="9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works.</w:t>
                  </w:r>
                  <w:hyperlink r:id="rId14" w:anchor="note10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10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The key to this insight lies in what Piaget formulated in the phrase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l'objet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se laisse faire" ("the object allows itself to be treated"; 1970;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p.35) At the symposium on the occasion of his 80th birthday he repeated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phrase and explained it further: "When one comes to have a true theory,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 because the object permitted it; which amounts to saying that it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contained something analogous to my actions." (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Inhelder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et al. 1977;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p.64)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In this context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−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as in so many in Piaget's works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−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it is important 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remember that an "object" is never a thing-in-itself for Piaget, but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something that the cognizing subject has constructed by making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distinctions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coordinations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in his or her perceptual field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(Piaget, 1937).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That is all very well, one might say, but how does it come about 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reality we construct is in many ways remarkably stable? And, one might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also ask why, if we ourselves construct our experiential reality, can we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not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construct any reality we might like? The first question was answered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categorical way by George Kelly: "To the living creature, then,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universe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real, but it is not inexorable unless he chooses to construe it 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way" (1955; p.8). The living creature, be it fish, fowl, or human,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thrives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by abstracting regularities and rules from experience that enable it 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avoid disagreeable situations and, to some extent, to generate agreeable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ones. This "abstracting of regularities" is always the result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assimilation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 No experience is ever the same as another in the absolute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sense. Repetition and, consequently, regularity can be obtained only by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disregarding certain differences. This notion of assimilation is at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c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 Piaget's scheme theory. No schemes could be developed if the organism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could not isolate situations in which a certain action leads to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desirable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result. It is the focus on the result that distinguishes a scheme from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reflex and makes possible the form of learning that Piaget called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accommodation. It takes place when a scheme does not lead to the expected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result. This produces a perturbation, and the perturbation may lead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either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to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 modification of the pattern that was abstracted as the "triggering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situation" or to a modification of the action. All this, I want 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emphasize, concerns the experiential world of the acting organism, not any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"external" reality. And the patterns a cognizing organism can and does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abstract from experience depend on the operations of distinction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coordination the organism can and does </w:t>
                  </w:r>
                  <w:bookmarkStart w:id="10" w:name="back11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carry</w:t>
                  </w:r>
                  <w:bookmarkEnd w:id="10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out.</w:t>
                  </w:r>
                  <w:hyperlink r:id="rId15" w:anchor="note11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11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This was brilliantly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demonstrated for a variety of organisms more than fifty years ago by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Jakob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von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Uexk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ü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ll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(1933/1970).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The second question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−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why we cannot construct any reality we like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−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 raised only if the concept of viability is misunderstood or ignored.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absurdity of solipsism stems from the denial of any relation between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knowledge and an experiencer-independent world.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Radical Constructivism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been careful to stress that all action, be it physical or conceptual, 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subject to constraints. I can no more walk through the desk in front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than I can argue that black is white at one and the same time. What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constrains me, however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is not quite the same in the two cases. That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desk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constitutes an obstacle to my physical movement is due to the particular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distinctions my sensory system enables me to make and to the particular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way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 which I have come to coordinate them. Indeed, if I now could walk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through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the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desk, it would no longer fit the abstraction I have made in prior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experience. This, I think, is simple enough. What is not so simple is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realization that the fact that I am able to make the particular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distinctions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coordinations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and establish their permanence in my experiential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world,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does not tell me anything other than the fact that it is one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things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my experiential reality allows me to do. Using a spatial metaphor, I have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times expressed this by saying that the viability of an action shows no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than that the "real" world leaves us room to act in that way. Conversely,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when my actions fail and I am compelled to make a physical or conceptual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accommodation, this does not warrant the assumption that my failure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reveals something that "exists" beyond my experience. Whatever obstacle I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might conjecture, can be described only in terms of my own actions. (In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context, it is important to remember that the constructivist theory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holds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 perception is not passive, but under all circumstances the result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action; cf. Piaget, 1969.)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The constraints that preclude my saying that black is white are,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course, not physical but conceptual. The way we use symbols to handle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abstractions we have made from experience, requires among other things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we exclude contradiction (cf. von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Glasersfeld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in press). Consistency, in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maintaining semantic links and in avoiding contradictions, is 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indispensable condition of what I would call our "rational game".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The Question of Certainty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domain of mathematics is in some sense the epitome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rational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game. The certainty of mathematical results has often been brought up 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argument against constructivism.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To indicate that the theoretical infallibility of mathematical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o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perations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(in practice, mistakes may, of course, occur) cannot be claimed as proof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these operations give access to an ontological reality, I have compared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generation of certainty to the game of chess. At the painful moment when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discover that your opponent can put you into a "checkmate" position, you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have no way of doubting it and your shock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as real as any shock can be.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Yet, it is obvious that the certainty you are experiencing springs from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nothing but the conceptual relations that constitute the rules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g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ame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;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and it is equally obvious that these conceptual relations are absolute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i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the sense that if I broke them and thus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destroyed the certainty they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generate, I would no longer be playing that particular game.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The comparison with chess has caused remonstrations, and I would like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clarify my position. I still believe that the certainty in mathematics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springs from the same conceptual source, but this does not mean that I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hold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mathematics to be like chess in other ways. The biggest difference 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elements to which the rules of chess apply are all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specific to the game. Flesh and blood kings cannot be put into "mate"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positions, equestrian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knights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move unlike their chess namesakes,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living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queens show their power in ways that are inconceivable on the chess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board.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In contrast, the elements to which the rules of mathematics are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applied,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not free inventions. In counting, for example, the elements start out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ordinary things that have been abstracted from ordinary experience,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basic abstract concepts, such as "oneness" and "plurality", have a life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their own before they are incorporated in the realm of mathematics. It 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precisely this connection with everyday experience and conceptual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practice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 leads to the contention that mathematics "reflects" the real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world.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The "imagined world of lines and numbers" of which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speaks in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quotation I have put at the beginning of this essay, is in no sense 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arbitrary world. At the roots of the vast network of mathematical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abstractions are the simple operations that allow us to perceive discrete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items in the field of our experience, and simple relational concepts 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allow us to unite them as "units of units". On subsequent levels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abstraction, the representations of sensory-motor material of everyday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experience (Piaget's "figurative" elements) drop out, and what remains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purely "operative", i.e., abstractions from operations.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None of this is developed in a free, wholly arbitrary fashion. Every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individual's abstraction of experiential items is constrained (and thus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guided) by social interaction and the need of collaboration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communication with other members of the group in which he or she grows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up.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No individual can afford not to establish a relative fit with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consensual domain of the social </w:t>
                  </w:r>
                  <w:bookmarkStart w:id="11" w:name="back12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environment</w:t>
                  </w:r>
                  <w:bookmarkEnd w:id="11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hyperlink r:id="rId16" w:anchor="note12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12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An analogous development takes place with regard to mathematics, but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here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social interaction specifically involves those who are active in 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field. The consensual domain into which the individual must learn to fit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i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 of mathematicians, teachers, and other adults insofar as they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practice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mathematics. The process of adaptation is the same as in other social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domains, but there is an important difference in the way the degree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adaptation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can be assessed. In the domain of everyday living, fit can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demonstrated by sensory-motor evidence of successful interaction (e.g.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when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 individual asked to buy apples, returns with items that the other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recognizes as apples). The only observable manifestation of the demand 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well as of the response, in the abstract reaches of the domain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mathematics, are symbols of operations. The operations themselves remain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unobservable. Understanding can therefore never be demonstrated by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presentation of results that may have been acquired by rote </w:t>
                  </w:r>
                  <w:bookmarkStart w:id="12" w:name="back13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learning</w:t>
                  </w:r>
                  <w:bookmarkEnd w:id="12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hyperlink r:id="rId17" w:anchor="note13" w:history="1"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[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</w:rPr>
                      <w:t>13</w:t>
                    </w:r>
                    <w:r w:rsidRPr="006A428F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  <w:vertAlign w:val="superscript"/>
                        <w:lang w:val="it-IT"/>
                      </w:rPr>
                      <w:t>]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This is one of the reasons why mathematics teachers often insist (to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immense boredom of the students) on the exact documentation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algorithm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by means of which the result was obtained. The flaw in this procedure 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that any documentation of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an algorithm is again a sequence of symbols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w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hich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 themselves do not demonstrate the speaker's or writer's understanding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o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symbolized operations. Hence, the production of such a sequence, too,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may be the result of rote learning.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Other contributions to this volume will illustrate how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constructivist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approach to instruction deals with this problem. They will also show 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constructivist teacher does not give up his or her role as a guide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−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but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this leadership takes the form of encouraging and orienting the students'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constructive effort rather than curtailing their autonomy by presenting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ready-made results as the only permitted path.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Here, I would merely stress the sharp distinction which, in my view,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has to be made between teaching and training. The first aims at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students'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conceptual fit with the consensual domain of the particular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field,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 fit which, from the teacher's perspective, constitutes understanding.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second aims at the students' behavioral fit which, from the teacher's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perspective, constitutes acceptable performance. This is not to say,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rote learning and the focus on adequate performance should have no place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constructively oriented instruction. But it does mean that, where the domain of mathematics is concerned, instruction that focuses on performance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alone can be no better than trivial.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Concluding Remarks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If one seriously wants to adopt the radical constructivist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orientation,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changes of thinking and of attitudes one has to make are formidable.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 also far from easy to maintain them consequentially. Much like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physical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habits, old ways of thinking are slow to die out and tend to return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surreptitiously.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In everyday living we don't risk much if we continue to speak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lovely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sunsets and say that tomorrow the sun will rise at such and such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time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−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even though we now hold that it is the earth that moves and not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sun. Similarly, there is no harm in speaking of knowledge, mathematical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other, as though it had ontological status and could be "objective" in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sense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; as a way of speaking this is virtually inevitable in the social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interactions of everyday life. But when we let scientific knowledge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turn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into belief and begin to think of it as unquestionable dogma, we are on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dangerous slope.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The critics of Copernicus who argued that his system must be "wrong"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because it denied that the earth is the center of the universe, could not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claim to be "scientific"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−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they argued in that way for political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religious reasons. Science, as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Bellarmino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pointed out, produces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hypotheses,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and as such, they may or may not be useful. Their use may also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temporary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The science we have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today,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holds that neither the earth nor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 has a privileged position in the universe. Like the contemporary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philosophers of science, constructivists have tried to learn from 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development and to give up the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tradi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t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ional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conception of knowledge as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"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true" representation of an experiencer-independent state of affairs.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 why radical constructivism does not claim to have found an ontological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truth but merely proposes a hypothetical model that may turn out to be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useful one.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Let me conclude with a remark that is not particularly relevant 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teaching of mathematics but might be considered by educators in general.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Throughout the two thousand five hundred years of Western epistemology,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accepted view has been a realist view. According to it, the human knower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 attain some knowledge of a really existing world and can use this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knowledge to modify it.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People tended to think of the world as governed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by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God who would not let it go under. Then faith shifted from God to science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and the world that science was mapping was called "Nature" and believed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 ultimately understandable and controllable. Yet, it was also believed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be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so immense that mankind could do no significant harm to it. Today, one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does not have to look far to see that this attitude has endangered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world we are actually experiencing.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If the view is adopted that "knowledge" is the conceptual means 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make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sense of experience, rather than a "representation" of something that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supposed to lie beyond it, this shift of perspective brings with it an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important corollary: the concepts and relations in terms of which we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perceive and conceive the experiential world we live in are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necessarily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generated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by ourselves. In this sense it is we who are responsible for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world we are experiencing. As I have reiterated many times, radical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constructivism does not suggest that we can construct anything we like,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but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it does claim that within the constraints that limit our construction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is room for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 infinity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of alternatives. It therefore does not seem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untimely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to suggest a theory of knowing that draws attention to the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knower's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responsibility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what the knower constructs.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 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</w:rPr>
                    <w:t>REFERENCES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Anonymous (1711),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Osservazioni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Giornale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de'Letterati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d'Italia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5(6).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reprinted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1858; p. 137-140 ).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Bogdanov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A. (1909) Science and philosophy. In (anonymous editor),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Essays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on the philosophy of collectivism, Vol.1. St. Petersburg.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Diels, H. (1957) Die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Vorsokratiker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Hamburg: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Rowohlt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Feyerabend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P. (1987) Farewell to reason. London/New York: Verso.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Inhelder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B., Garcia, R., &amp;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Voneche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J. (1977)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Epistemologie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genetique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et equilibration. Neuchatel/Paris: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Delachauz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Niestle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James, W. (1880), Great men, great thoughts, and the environment,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Atlantic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Monthly, 46, 441-459.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Kelly, G.A. (1955) A theory of personality - The psychology of personal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constructs. New York: Norton.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Kitchener, R. (1989), Genetic epistemology and the prospects for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cognitive sociology of science: A critical synthesis, Social Epistemology,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3(2), 153-169.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Maturana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H. (1980) Biology and cognition. In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H.Maturana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&amp; F. Varela,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Autopoiesis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: The organization of the living. Dordrecht: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Reidel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Montaigne, Michel de (1972)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Essais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Vol.2. Paris: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Librairie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Generale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Francaise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Piaget, J. (1937 La construction du reel chez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l'enfant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 Neuchatel: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Delachaux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Niestle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Piaget, J. (1969) Mechanisms of perception. (Translation by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G.N.Seagrim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) New York: Basic Books.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Piaget, J. (1970) Le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structuralisme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Paris: Presses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Universitaires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France.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Pittendrigh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C.S. (1958), Adaptation, natural selection,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behavior.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A.Roe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G.G.Simpson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(Eds.), Behavior and evolution. New Haven, CT: Yale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University Press.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Plato, Great dialogues of Plato (1956). New York: New American Library.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Popkin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R. (1979) The history of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scepticism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from Erasmus to Spinoza.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Berkeley/Los Angeles: University of California Press.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Rowell, J.A. (1989), Equilibration and the teaching of science,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Synthese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1989; in press.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Simmel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G. (1895)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Ueber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eine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Beziehung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der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Selectionslehre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zur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Erkenntnistheorie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Archiv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ü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systematische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Philosophie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1, 34-45.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Vaihinger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H. (1913) Die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Philosophie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des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Als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Ob. Berlin: Reuther &amp;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Reichard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G.-B. (1858) De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antiquissima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Italorum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sapientia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(1710) Naples: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Stamperia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de'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Classici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Latini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von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Glasersfeld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E. (1980), Adaptation and viability, American Psychologist, 35(11), 970-974.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von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Glasersfeld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E. (1985), Reconstructing the concept of knowledge,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Archives de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Psychologie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53, 91-101.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von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Glasersfeld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E. (1989) Abstraction, representation, and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reflection. In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L.P.Steffe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(Ed.) Epistemological foundations 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mathematical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experience. New York: Springer, in press.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von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Uexk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ü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ll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J. 1970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Streifz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ü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durch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Umwelten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von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Tieren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und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Menschen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(with Georg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Kriszat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). Frankfurt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am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Main: Fischer. (Originally published in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1933).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Vuyk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R. (1981) Overview and critique of Piaget's genetic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epistemology,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Vols. 1 &amp; 2. New York: Academic Press.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</w:rPr>
                    <w:t>FOOTNOTES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br/>
                  </w:r>
                  <w:bookmarkStart w:id="13" w:name="note1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1. </w:t>
                  </w:r>
                  <w:bookmarkEnd w:id="13"/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Vico's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reply to his 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critics,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included in the 2nd edition of De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Antiquissima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Italorum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Sapientia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1711; reprinted in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(1858) p.143.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 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"back1"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14" w:name="note2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2.</w:t>
                  </w:r>
                  <w:bookmarkEnd w:id="14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Antiquissima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Italorum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Sapientia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Naples, 1710; reprinted with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Italian translation, 1858.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"back2"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15" w:name="note3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3. </w:t>
                  </w:r>
                  <w:bookmarkEnd w:id="15"/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Giornale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de'Letterati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d'Italia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1711,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vol.V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article VI; reprinted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Vico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(1858), p. 137.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"back3"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16" w:name="note4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4.</w:t>
                  </w:r>
                  <w:bookmarkEnd w:id="16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cf. Hermann Diels (1957), Xenophanes, fragment 34.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"back4"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17" w:name="note5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5.</w:t>
                  </w:r>
                  <w:bookmarkEnd w:id="17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cf. Plato's "The Republic" in Great Dialogues of Plato (1956), p.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312ff.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"back5"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18" w:name="note6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6. </w:t>
                  </w:r>
                  <w:bookmarkEnd w:id="18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Montaigne wrote this in his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Apologie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 Raymond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Sebond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(1575-76);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cf.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Essais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1972, vol.2</w:t>
                  </w:r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,,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p.139.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"back6"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19" w:name="note7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7.</w:t>
                  </w:r>
                  <w:bookmarkEnd w:id="19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Though most philosophers, today, would agree that the ontological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realm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is perceptually inaccessible, they balk at Kant's suggestion that it 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also conceptually inaccessible to us. They are therefore still stuck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with the paradox that they have no way of showing the truth of the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ontological claims they make.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"back7"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20" w:name="note8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8. </w:t>
                  </w:r>
                  <w:bookmarkEnd w:id="20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This reference was brought to my attention by a personal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c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ommunication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from Jacques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Voneche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(Geneva, 1985).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"back8"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21" w:name="note9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9.</w:t>
                  </w:r>
                  <w:bookmarkEnd w:id="21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See, for instance, Kitchener's recent article (1989) on Piaget's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early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work on the role of social interaction and exchange.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"back9"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22" w:name="note10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10.</w:t>
                  </w:r>
                  <w:bookmarkEnd w:id="22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Paul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Feyerabend's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recent comment (1987) on the famous letter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Cardinal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Bellarmino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wrote in the context of Galileo's trial, makes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point in exemplary fashion: "To use modern terms: astronomers are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entirely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safe when saying that a model has predictive advantages over another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model, but they get into trouble when asserting that it is therefore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faithful image of reality. Or, more generally: the fact that a model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works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does not by itself show that reality is structured like the model."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begin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instrText xml:space="preserve"> HYPERLINK "http://www.oikos.org/constructivism.htm" \l "back10" </w:instrTex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separate"/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val="it-IT"/>
                    </w:rPr>
                    <w:t>back</w:t>
                  </w:r>
                  <w:r w:rsidRPr="006A42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it-IT"/>
                    </w:rPr>
                    <w:fldChar w:fldCharType="end"/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(p.250)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23" w:name="note11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11. </w:t>
                  </w:r>
                  <w:bookmarkEnd w:id="23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focus on "operations of distinction" is a major contribution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Humberto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Maturana's</w:t>
                  </w:r>
                  <w:proofErr w:type="spell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biological approach to cognition (1980); the notion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as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such, however, is implicit in much of Piaget's work, </w:t>
                  </w:r>
                  <w:proofErr w:type="spell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e.g</w:t>
                  </w:r>
                  <w:proofErr w:type="spellEnd"/>
                  <w:proofErr w:type="gramStart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,,</w:t>
                  </w:r>
                  <w:proofErr w:type="gramEnd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his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Mechanisms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of perception (1969).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hyperlink r:id="rId18" w:anchor="back11" w:history="1">
                    <w:r w:rsidRPr="006A428F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  <w:lang w:val="it-IT"/>
                      </w:rPr>
                      <w:t>back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24" w:name="note12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  <w:bookmarkEnd w:id="24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. Lest this be interpreted as a concession to realism, let me point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out that, in the constructivist view, the term "environment" always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refers to the environment as experientially constructed by the particular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subject, not to an "objective" external world.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hyperlink r:id="rId19" w:anchor="back12" w:history="1">
                    <w:r w:rsidRPr="006A428F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  <w:lang w:val="it-IT"/>
                      </w:rPr>
                      <w:t>back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bookmarkStart w:id="25" w:name="note13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13.</w:t>
                  </w:r>
                  <w:bookmarkEnd w:id="25"/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Thinking, conceptual development, understanding, and meaning are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located in someone's head and are never directly observable. A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formidable confusion was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generated by the behaviorist program that tried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to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t>equate meaning with observable response.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  </w:t>
                  </w:r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[</w:t>
                  </w:r>
                  <w:hyperlink r:id="rId20" w:anchor="back13" w:history="1">
                    <w:r w:rsidRPr="006A428F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  <w:lang w:val="it-IT"/>
                      </w:rPr>
                      <w:t>back</w:t>
                    </w:r>
                  </w:hyperlink>
                  <w:r w:rsidRPr="006A428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]</w:t>
                  </w:r>
                  <w:r w:rsidRPr="006A428F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 </w:t>
                  </w:r>
                </w:p>
                <w:p w:rsidR="006A428F" w:rsidRPr="006A428F" w:rsidRDefault="006A428F" w:rsidP="006A42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42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A428F" w:rsidRPr="006A428F" w:rsidRDefault="006A428F" w:rsidP="006A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28F" w:rsidRPr="006A428F" w:rsidRDefault="006A428F" w:rsidP="006A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28F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 </w:t>
      </w:r>
    </w:p>
    <w:p w:rsidR="006E541F" w:rsidRDefault="006E541F">
      <w:bookmarkStart w:id="26" w:name="_GoBack"/>
      <w:bookmarkEnd w:id="26"/>
    </w:p>
    <w:sectPr w:rsidR="006E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8F"/>
    <w:rsid w:val="006A428F"/>
    <w:rsid w:val="006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28F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8F"/>
    <w:rPr>
      <w:color w:val="000040"/>
      <w:u w:val="single"/>
    </w:rPr>
  </w:style>
  <w:style w:type="paragraph" w:styleId="NormalWeb">
    <w:name w:val="Normal (Web)"/>
    <w:basedOn w:val="Normal"/>
    <w:uiPriority w:val="99"/>
    <w:unhideWhenUsed/>
    <w:rsid w:val="006A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28F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8F"/>
    <w:rPr>
      <w:color w:val="000040"/>
      <w:u w:val="single"/>
    </w:rPr>
  </w:style>
  <w:style w:type="paragraph" w:styleId="NormalWeb">
    <w:name w:val="Normal (Web)"/>
    <w:basedOn w:val="Normal"/>
    <w:uiPriority w:val="99"/>
    <w:unhideWhenUsed/>
    <w:rsid w:val="006A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8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8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os.org/constructivism.htm" TargetMode="External"/><Relationship Id="rId13" Type="http://schemas.openxmlformats.org/officeDocument/2006/relationships/hyperlink" Target="http://www.oikos.org/constructivism.htm" TargetMode="External"/><Relationship Id="rId18" Type="http://schemas.openxmlformats.org/officeDocument/2006/relationships/hyperlink" Target="http://www.oikos.org/constructivism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ikos.org/constructivism.htm" TargetMode="External"/><Relationship Id="rId12" Type="http://schemas.openxmlformats.org/officeDocument/2006/relationships/hyperlink" Target="http://www.oikos.org/constructivism.htm" TargetMode="External"/><Relationship Id="rId17" Type="http://schemas.openxmlformats.org/officeDocument/2006/relationships/hyperlink" Target="http://www.oikos.org/constructivism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ikos.org/constructivism.htm" TargetMode="External"/><Relationship Id="rId20" Type="http://schemas.openxmlformats.org/officeDocument/2006/relationships/hyperlink" Target="http://www.oikos.org/constructivism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ikos.org/constructivism.htm" TargetMode="External"/><Relationship Id="rId11" Type="http://schemas.openxmlformats.org/officeDocument/2006/relationships/hyperlink" Target="http://www.oikos.org/constructivism.htm" TargetMode="External"/><Relationship Id="rId5" Type="http://schemas.openxmlformats.org/officeDocument/2006/relationships/hyperlink" Target="http://www.oikos.org/constructivism.htm" TargetMode="External"/><Relationship Id="rId15" Type="http://schemas.openxmlformats.org/officeDocument/2006/relationships/hyperlink" Target="http://www.oikos.org/constructivism.htm" TargetMode="External"/><Relationship Id="rId10" Type="http://schemas.openxmlformats.org/officeDocument/2006/relationships/hyperlink" Target="http://www.oikos.org/constructivism.htm" TargetMode="External"/><Relationship Id="rId19" Type="http://schemas.openxmlformats.org/officeDocument/2006/relationships/hyperlink" Target="http://www.oikos.org/constructivis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kos.org/constructivism.htm" TargetMode="External"/><Relationship Id="rId14" Type="http://schemas.openxmlformats.org/officeDocument/2006/relationships/hyperlink" Target="http://www.oikos.org/constructivism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5185</Words>
  <Characters>29559</Characters>
  <Application>Microsoft Office Word</Application>
  <DocSecurity>0</DocSecurity>
  <Lines>246</Lines>
  <Paragraphs>69</Paragraphs>
  <ScaleCrop>false</ScaleCrop>
  <Company/>
  <LinksUpToDate>false</LinksUpToDate>
  <CharactersWithSpaces>34675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2015-06-01T03:50:00Z</dcterms:created>
  <dcterms:modified xsi:type="dcterms:W3CDTF">2015-06-01T03:51:00Z</dcterms:modified>
</cp:coreProperties>
</file>