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CB" w:rsidRPr="00441ECB" w:rsidRDefault="00441ECB" w:rsidP="00441ECB">
      <w:pPr>
        <w:spacing w:before="360" w:after="0" w:line="312" w:lineRule="atLeast"/>
        <w:ind w:left="240"/>
        <w:rPr>
          <w:rFonts w:ascii="Arial" w:eastAsia="Times New Roman" w:hAnsi="Arial" w:cs="Arial"/>
          <w:color w:val="333333"/>
          <w:sz w:val="24"/>
          <w:szCs w:val="24"/>
        </w:rPr>
      </w:pPr>
      <w:r w:rsidRPr="00441ECB">
        <w:rPr>
          <w:rFonts w:ascii="Arial" w:eastAsia="Times New Roman" w:hAnsi="Arial" w:cs="Arial"/>
          <w:color w:val="333333"/>
          <w:sz w:val="24"/>
          <w:szCs w:val="24"/>
        </w:rPr>
        <w:t>For the following exercise, complete the calculations below. Evaluate different capital investment appraisal techniques by completing the calculations shown below:</w:t>
      </w:r>
    </w:p>
    <w:p w:rsidR="00441ECB" w:rsidRPr="00441ECB" w:rsidRDefault="00441ECB" w:rsidP="00441ECB">
      <w:pPr>
        <w:spacing w:before="360" w:after="0" w:line="312" w:lineRule="atLeast"/>
        <w:ind w:left="240"/>
        <w:rPr>
          <w:rFonts w:ascii="Arial" w:eastAsia="Times New Roman" w:hAnsi="Arial" w:cs="Arial"/>
          <w:color w:val="333333"/>
          <w:sz w:val="24"/>
          <w:szCs w:val="24"/>
        </w:rPr>
      </w:pPr>
      <w:r w:rsidRPr="00441ECB">
        <w:rPr>
          <w:rFonts w:ascii="Arial" w:eastAsia="Times New Roman" w:hAnsi="Arial" w:cs="Arial"/>
          <w:color w:val="333333"/>
          <w:sz w:val="24"/>
          <w:szCs w:val="24"/>
        </w:rPr>
        <w:t>Bongo Ltd. is considering the selection of one of two mutually exclusive projects. Both would involve purchasing machinery with an estimated useful life of 5 years.</w:t>
      </w:r>
    </w:p>
    <w:p w:rsidR="00441ECB" w:rsidRPr="00441ECB" w:rsidRDefault="00441ECB" w:rsidP="00441ECB">
      <w:pPr>
        <w:spacing w:before="360" w:after="0" w:line="312" w:lineRule="atLeast"/>
        <w:ind w:left="240"/>
        <w:rPr>
          <w:rFonts w:ascii="Arial" w:eastAsia="Times New Roman" w:hAnsi="Arial" w:cs="Arial"/>
          <w:color w:val="333333"/>
          <w:sz w:val="24"/>
          <w:szCs w:val="24"/>
        </w:rPr>
      </w:pPr>
      <w:r w:rsidRPr="00441ECB">
        <w:rPr>
          <w:rFonts w:ascii="Arial" w:eastAsia="Times New Roman" w:hAnsi="Arial" w:cs="Arial"/>
          <w:color w:val="333333"/>
          <w:sz w:val="24"/>
          <w:szCs w:val="24"/>
        </w:rPr>
        <w:t>Project 1 would generate annual cash flows (receipts less payments) of £200,000; the machinery would cost £556,000 with a scrap value of £56,000.</w:t>
      </w:r>
    </w:p>
    <w:p w:rsidR="00441ECB" w:rsidRPr="00441ECB" w:rsidRDefault="00441ECB" w:rsidP="00441ECB">
      <w:pPr>
        <w:spacing w:before="360" w:after="0" w:line="312" w:lineRule="atLeast"/>
        <w:ind w:left="240"/>
        <w:rPr>
          <w:rFonts w:ascii="Arial" w:eastAsia="Times New Roman" w:hAnsi="Arial" w:cs="Arial"/>
          <w:color w:val="333333"/>
          <w:sz w:val="24"/>
          <w:szCs w:val="24"/>
        </w:rPr>
      </w:pPr>
      <w:r w:rsidRPr="00441ECB">
        <w:rPr>
          <w:rFonts w:ascii="Arial" w:eastAsia="Times New Roman" w:hAnsi="Arial" w:cs="Arial"/>
          <w:color w:val="333333"/>
          <w:sz w:val="24"/>
          <w:szCs w:val="24"/>
        </w:rPr>
        <w:t>Project 2 would generate cash flows of £500,000 per annum; the machinery would cost £1,616,000 with a scrap value of £301,000.</w:t>
      </w:r>
    </w:p>
    <w:p w:rsidR="00441ECB" w:rsidRPr="00441ECB" w:rsidRDefault="00441ECB" w:rsidP="00441ECB">
      <w:pPr>
        <w:spacing w:before="360" w:after="0" w:line="312" w:lineRule="atLeast"/>
        <w:ind w:left="240"/>
        <w:rPr>
          <w:rFonts w:ascii="Arial" w:eastAsia="Times New Roman" w:hAnsi="Arial" w:cs="Arial"/>
          <w:color w:val="333333"/>
          <w:sz w:val="24"/>
          <w:szCs w:val="24"/>
        </w:rPr>
      </w:pPr>
      <w:r w:rsidRPr="00441ECB">
        <w:rPr>
          <w:rFonts w:ascii="Arial" w:eastAsia="Times New Roman" w:hAnsi="Arial" w:cs="Arial"/>
          <w:color w:val="333333"/>
          <w:sz w:val="24"/>
          <w:szCs w:val="24"/>
        </w:rPr>
        <w:t>Bongo uses straight-line depreciation. Its cost of capital is 15% per annum.</w:t>
      </w:r>
    </w:p>
    <w:p w:rsidR="00441ECB" w:rsidRPr="00441ECB" w:rsidRDefault="00441ECB" w:rsidP="00441ECB">
      <w:pPr>
        <w:spacing w:before="360" w:after="0" w:line="312" w:lineRule="atLeast"/>
        <w:ind w:left="240"/>
        <w:rPr>
          <w:rFonts w:ascii="Arial" w:eastAsia="Times New Roman" w:hAnsi="Arial" w:cs="Arial"/>
          <w:color w:val="333333"/>
          <w:sz w:val="24"/>
          <w:szCs w:val="24"/>
        </w:rPr>
      </w:pPr>
      <w:r w:rsidRPr="00441ECB">
        <w:rPr>
          <w:rFonts w:ascii="Arial" w:eastAsia="Times New Roman" w:hAnsi="Arial" w:cs="Arial"/>
          <w:color w:val="333333"/>
          <w:sz w:val="24"/>
          <w:szCs w:val="24"/>
        </w:rPr>
        <w:t>Assume that all cash flows arise on the anniversaries of the initial outlay, that there are no price changes over the project lives, and that accepting either project will have no impact on working capital requirements.</w:t>
      </w:r>
    </w:p>
    <w:p w:rsidR="00441ECB" w:rsidRPr="00441ECB" w:rsidRDefault="00441ECB" w:rsidP="00441ECB">
      <w:pPr>
        <w:spacing w:before="360" w:after="0" w:line="312" w:lineRule="atLeast"/>
        <w:ind w:left="240"/>
        <w:rPr>
          <w:rFonts w:ascii="Arial" w:eastAsia="Times New Roman" w:hAnsi="Arial" w:cs="Arial"/>
          <w:color w:val="333333"/>
          <w:sz w:val="24"/>
          <w:szCs w:val="24"/>
        </w:rPr>
      </w:pPr>
      <w:r w:rsidRPr="00441ECB">
        <w:rPr>
          <w:rFonts w:ascii="Arial" w:eastAsia="Times New Roman" w:hAnsi="Arial" w:cs="Arial"/>
          <w:color w:val="333333"/>
          <w:sz w:val="24"/>
          <w:szCs w:val="24"/>
        </w:rPr>
        <w:t>Assess the choice using the following methods by completing the calculations shown below:</w:t>
      </w:r>
    </w:p>
    <w:p w:rsidR="00441ECB" w:rsidRPr="00441ECB" w:rsidRDefault="00441ECB" w:rsidP="00441ECB">
      <w:pPr>
        <w:numPr>
          <w:ilvl w:val="0"/>
          <w:numId w:val="1"/>
        </w:numPr>
        <w:spacing w:before="240" w:after="0" w:line="288" w:lineRule="atLeast"/>
        <w:ind w:left="600"/>
        <w:rPr>
          <w:rFonts w:ascii="Arial" w:eastAsia="Times New Roman" w:hAnsi="Arial" w:cs="Arial"/>
          <w:color w:val="333333"/>
          <w:sz w:val="24"/>
          <w:szCs w:val="24"/>
        </w:rPr>
      </w:pPr>
      <w:r w:rsidRPr="00441ECB">
        <w:rPr>
          <w:rFonts w:ascii="Arial" w:eastAsia="Times New Roman" w:hAnsi="Arial" w:cs="Arial"/>
          <w:color w:val="333333"/>
          <w:sz w:val="24"/>
          <w:szCs w:val="24"/>
        </w:rPr>
        <w:t>ARR</w:t>
      </w:r>
    </w:p>
    <w:p w:rsidR="00441ECB" w:rsidRPr="00441ECB" w:rsidRDefault="00441ECB" w:rsidP="00441ECB">
      <w:pPr>
        <w:numPr>
          <w:ilvl w:val="0"/>
          <w:numId w:val="1"/>
        </w:numPr>
        <w:spacing w:before="240" w:after="0" w:line="288" w:lineRule="atLeast"/>
        <w:ind w:left="600"/>
        <w:rPr>
          <w:rFonts w:ascii="Arial" w:eastAsia="Times New Roman" w:hAnsi="Arial" w:cs="Arial"/>
          <w:color w:val="333333"/>
          <w:sz w:val="24"/>
          <w:szCs w:val="24"/>
        </w:rPr>
      </w:pPr>
      <w:r w:rsidRPr="00441ECB">
        <w:rPr>
          <w:rFonts w:ascii="Arial" w:eastAsia="Times New Roman" w:hAnsi="Arial" w:cs="Arial"/>
          <w:color w:val="333333"/>
          <w:sz w:val="24"/>
          <w:szCs w:val="24"/>
        </w:rPr>
        <w:t>NPV</w:t>
      </w:r>
    </w:p>
    <w:p w:rsidR="00441ECB" w:rsidRPr="00441ECB" w:rsidRDefault="00441ECB" w:rsidP="00441ECB">
      <w:pPr>
        <w:numPr>
          <w:ilvl w:val="0"/>
          <w:numId w:val="1"/>
        </w:numPr>
        <w:spacing w:before="240" w:after="0" w:line="288" w:lineRule="atLeast"/>
        <w:ind w:left="600"/>
        <w:rPr>
          <w:rFonts w:ascii="Arial" w:eastAsia="Times New Roman" w:hAnsi="Arial" w:cs="Arial"/>
          <w:color w:val="333333"/>
          <w:sz w:val="24"/>
          <w:szCs w:val="24"/>
        </w:rPr>
      </w:pPr>
      <w:r w:rsidRPr="00441ECB">
        <w:rPr>
          <w:rFonts w:ascii="Arial" w:eastAsia="Times New Roman" w:hAnsi="Arial" w:cs="Arial"/>
          <w:color w:val="333333"/>
          <w:sz w:val="24"/>
          <w:szCs w:val="24"/>
        </w:rPr>
        <w:t>IRR</w:t>
      </w:r>
    </w:p>
    <w:p w:rsidR="00441ECB" w:rsidRPr="00441ECB" w:rsidRDefault="00441ECB" w:rsidP="00441ECB">
      <w:pPr>
        <w:numPr>
          <w:ilvl w:val="0"/>
          <w:numId w:val="1"/>
        </w:numPr>
        <w:spacing w:before="240" w:after="0" w:line="288" w:lineRule="atLeast"/>
        <w:ind w:left="600"/>
        <w:rPr>
          <w:rFonts w:ascii="Arial" w:eastAsia="Times New Roman" w:hAnsi="Arial" w:cs="Arial"/>
          <w:color w:val="333333"/>
          <w:sz w:val="24"/>
          <w:szCs w:val="24"/>
        </w:rPr>
      </w:pPr>
      <w:r w:rsidRPr="00441ECB">
        <w:rPr>
          <w:rFonts w:ascii="Arial" w:eastAsia="Times New Roman" w:hAnsi="Arial" w:cs="Arial"/>
          <w:color w:val="333333"/>
          <w:sz w:val="24"/>
          <w:szCs w:val="24"/>
        </w:rPr>
        <w:t>Payback period</w:t>
      </w:r>
    </w:p>
    <w:p w:rsidR="00441ECB" w:rsidRDefault="00441ECB" w:rsidP="00441ECB">
      <w:pPr>
        <w:spacing w:before="360" w:after="0" w:line="312" w:lineRule="atLeast"/>
        <w:ind w:left="240"/>
        <w:rPr>
          <w:rFonts w:ascii="Arial" w:eastAsia="Times New Roman" w:hAnsi="Arial" w:cs="Arial"/>
          <w:b/>
          <w:bCs/>
          <w:color w:val="333333"/>
          <w:sz w:val="24"/>
          <w:szCs w:val="24"/>
        </w:rPr>
      </w:pPr>
      <w:r w:rsidRPr="00441ECB">
        <w:rPr>
          <w:rFonts w:ascii="Arial" w:eastAsia="Times New Roman" w:hAnsi="Arial" w:cs="Arial"/>
          <w:b/>
          <w:bCs/>
          <w:color w:val="333333"/>
          <w:sz w:val="24"/>
          <w:szCs w:val="24"/>
        </w:rPr>
        <w:t>Calculate the missing answers:</w:t>
      </w:r>
    </w:p>
    <w:tbl>
      <w:tblPr>
        <w:tblW w:w="0" w:type="auto"/>
        <w:tblInd w:w="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663"/>
        <w:gridCol w:w="1302"/>
        <w:gridCol w:w="1302"/>
      </w:tblGrid>
      <w:tr w:rsidR="00441ECB" w:rsidRPr="00441ECB" w:rsidTr="00441ECB">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b/>
                <w:bCs/>
                <w:color w:val="000000"/>
                <w:sz w:val="24"/>
                <w:szCs w:val="24"/>
              </w:rPr>
              <w:t>Project 1</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b/>
                <w:bCs/>
                <w:color w:val="000000"/>
                <w:sz w:val="24"/>
                <w:szCs w:val="24"/>
              </w:rPr>
              <w:t>Project 2</w:t>
            </w:r>
          </w:p>
        </w:tc>
      </w:tr>
      <w:tr w:rsidR="00441ECB" w:rsidRPr="00441ECB" w:rsidTr="00441ECB">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b/>
                <w:bCs/>
                <w:color w:val="000000"/>
                <w:sz w:val="24"/>
                <w:szCs w:val="24"/>
              </w:rPr>
              <w:t>ARR</w:t>
            </w:r>
            <w:r w:rsidRPr="00441ECB">
              <w:rPr>
                <w:rFonts w:ascii="Arial" w:eastAsia="Times New Roman" w:hAnsi="Arial" w:cs="Arial"/>
                <w:color w:val="000000"/>
                <w:sz w:val="24"/>
                <w:szCs w:val="24"/>
              </w:rPr>
              <w:t> (see workings)</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33%</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w:t>
            </w:r>
          </w:p>
        </w:tc>
      </w:tr>
      <w:tr w:rsidR="00441ECB" w:rsidRPr="00441ECB" w:rsidTr="00441ECB">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b/>
                <w:bCs/>
                <w:color w:val="000000"/>
                <w:sz w:val="24"/>
                <w:szCs w:val="24"/>
              </w:rPr>
              <w:lastRenderedPageBreak/>
              <w:t>NPV (£’000)</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210</w:t>
            </w:r>
          </w:p>
        </w:tc>
      </w:tr>
      <w:tr w:rsidR="00441ECB" w:rsidRPr="00441ECB" w:rsidTr="00441ECB">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b/>
                <w:bCs/>
                <w:color w:val="000000"/>
                <w:sz w:val="24"/>
                <w:szCs w:val="24"/>
              </w:rPr>
              <w:t>IRR</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w:t>
            </w:r>
          </w:p>
        </w:tc>
      </w:tr>
      <w:tr w:rsidR="00441ECB" w:rsidRPr="00441ECB" w:rsidTr="00441ECB">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b/>
                <w:bCs/>
                <w:color w:val="000000"/>
                <w:sz w:val="24"/>
                <w:szCs w:val="24"/>
              </w:rPr>
              <w:t>Payback Period (yrs)</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3.2</w:t>
            </w:r>
          </w:p>
        </w:tc>
      </w:tr>
    </w:tbl>
    <w:p w:rsidR="00441ECB" w:rsidRPr="00441ECB" w:rsidRDefault="00441ECB" w:rsidP="00441ECB">
      <w:pPr>
        <w:spacing w:before="360" w:after="0" w:line="312" w:lineRule="atLeast"/>
        <w:ind w:left="240"/>
        <w:rPr>
          <w:rFonts w:ascii="Arial" w:eastAsia="Times New Roman" w:hAnsi="Arial" w:cs="Arial"/>
          <w:color w:val="333333"/>
          <w:sz w:val="24"/>
          <w:szCs w:val="24"/>
        </w:rPr>
      </w:pPr>
      <w:r w:rsidRPr="00441ECB">
        <w:rPr>
          <w:rFonts w:ascii="Arial" w:eastAsia="Times New Roman" w:hAnsi="Arial" w:cs="Arial"/>
          <w:b/>
          <w:bCs/>
          <w:color w:val="333333"/>
          <w:sz w:val="24"/>
          <w:szCs w:val="24"/>
        </w:rPr>
        <w:t>ARR workings (Project 1)</w:t>
      </w:r>
    </w:p>
    <w:tbl>
      <w:tblPr>
        <w:tblW w:w="0" w:type="auto"/>
        <w:tblInd w:w="24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000"/>
        <w:gridCol w:w="689"/>
      </w:tblGrid>
      <w:tr w:rsidR="00441ECB" w:rsidRPr="00441ECB" w:rsidTr="00441ECB">
        <w:tc>
          <w:tcPr>
            <w:tcW w:w="0" w:type="auto"/>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Cash flows</w:t>
            </w:r>
          </w:p>
        </w:tc>
        <w:tc>
          <w:tcPr>
            <w:tcW w:w="0" w:type="auto"/>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200</w:t>
            </w:r>
          </w:p>
        </w:tc>
      </w:tr>
      <w:tr w:rsidR="00441ECB" w:rsidRPr="00441ECB" w:rsidTr="00441ECB">
        <w:tc>
          <w:tcPr>
            <w:tcW w:w="3000" w:type="dxa"/>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Less: depreciation (see below)</w:t>
            </w:r>
          </w:p>
        </w:tc>
        <w:tc>
          <w:tcPr>
            <w:tcW w:w="0" w:type="auto"/>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u w:val="single"/>
              </w:rPr>
              <w:t>100</w:t>
            </w:r>
          </w:p>
        </w:tc>
      </w:tr>
      <w:tr w:rsidR="00441ECB" w:rsidRPr="00441ECB" w:rsidTr="00441ECB">
        <w:tc>
          <w:tcPr>
            <w:tcW w:w="0" w:type="auto"/>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Accounting profits</w:t>
            </w:r>
          </w:p>
        </w:tc>
        <w:tc>
          <w:tcPr>
            <w:tcW w:w="0" w:type="auto"/>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u w:val="single"/>
              </w:rPr>
              <w:t>100</w:t>
            </w:r>
          </w:p>
        </w:tc>
      </w:tr>
    </w:tbl>
    <w:p w:rsidR="00441ECB" w:rsidRPr="00441ECB" w:rsidRDefault="00441ECB" w:rsidP="00441ECB">
      <w:pPr>
        <w:spacing w:before="360" w:after="0" w:line="312" w:lineRule="atLeast"/>
        <w:ind w:left="240"/>
        <w:rPr>
          <w:rFonts w:ascii="Arial" w:eastAsia="Times New Roman" w:hAnsi="Arial" w:cs="Arial"/>
          <w:color w:val="333333"/>
          <w:sz w:val="24"/>
          <w:szCs w:val="24"/>
        </w:rPr>
      </w:pPr>
      <w:r w:rsidRPr="00441ECB">
        <w:rPr>
          <w:rFonts w:ascii="Arial" w:eastAsia="Times New Roman" w:hAnsi="Arial" w:cs="Arial"/>
          <w:color w:val="333333"/>
          <w:sz w:val="24"/>
          <w:szCs w:val="24"/>
        </w:rPr>
        <w:t>These profits are the same each year in this question.</w:t>
      </w:r>
    </w:p>
    <w:p w:rsidR="00441ECB" w:rsidRPr="00441ECB" w:rsidRDefault="00441ECB" w:rsidP="00441ECB">
      <w:pPr>
        <w:spacing w:before="360" w:after="0" w:line="312" w:lineRule="atLeast"/>
        <w:ind w:left="240"/>
        <w:rPr>
          <w:rFonts w:ascii="Arial" w:eastAsia="Times New Roman" w:hAnsi="Arial" w:cs="Arial"/>
          <w:color w:val="333333"/>
          <w:sz w:val="24"/>
          <w:szCs w:val="24"/>
        </w:rPr>
      </w:pPr>
      <w:r w:rsidRPr="00441ECB">
        <w:rPr>
          <w:rFonts w:ascii="Arial" w:eastAsia="Times New Roman" w:hAnsi="Arial" w:cs="Arial"/>
          <w:b/>
          <w:bCs/>
          <w:color w:val="333333"/>
          <w:sz w:val="24"/>
          <w:szCs w:val="24"/>
        </w:rPr>
        <w:t>Annual depreciation (Cost – SV) / 5</w:t>
      </w:r>
    </w:p>
    <w:tbl>
      <w:tblPr>
        <w:tblW w:w="0" w:type="auto"/>
        <w:tblInd w:w="24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000"/>
        <w:gridCol w:w="689"/>
      </w:tblGrid>
      <w:tr w:rsidR="00441ECB" w:rsidRPr="00441ECB" w:rsidTr="00441ECB">
        <w:tc>
          <w:tcPr>
            <w:tcW w:w="3000" w:type="dxa"/>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(556,000 – 56,000) / 5</w:t>
            </w:r>
          </w:p>
        </w:tc>
        <w:tc>
          <w:tcPr>
            <w:tcW w:w="0" w:type="auto"/>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100</w:t>
            </w:r>
          </w:p>
        </w:tc>
      </w:tr>
    </w:tbl>
    <w:p w:rsidR="00441ECB" w:rsidRPr="00441ECB" w:rsidRDefault="00441ECB" w:rsidP="00441ECB">
      <w:pPr>
        <w:spacing w:before="360" w:after="0" w:line="312" w:lineRule="atLeast"/>
        <w:ind w:left="240"/>
        <w:rPr>
          <w:rFonts w:ascii="Arial" w:eastAsia="Times New Roman" w:hAnsi="Arial" w:cs="Arial"/>
          <w:color w:val="333333"/>
          <w:sz w:val="24"/>
          <w:szCs w:val="24"/>
        </w:rPr>
      </w:pPr>
      <w:r w:rsidRPr="00441ECB">
        <w:rPr>
          <w:rFonts w:ascii="Arial" w:eastAsia="Times New Roman" w:hAnsi="Arial" w:cs="Arial"/>
          <w:b/>
          <w:bCs/>
          <w:color w:val="333333"/>
          <w:sz w:val="24"/>
          <w:szCs w:val="24"/>
        </w:rPr>
        <w:t>Average NBV of investments</w:t>
      </w:r>
    </w:p>
    <w:tbl>
      <w:tblPr>
        <w:tblW w:w="0" w:type="auto"/>
        <w:tblInd w:w="24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000"/>
        <w:gridCol w:w="769"/>
      </w:tblGrid>
      <w:tr w:rsidR="00441ECB" w:rsidRPr="00441ECB" w:rsidTr="00441ECB">
        <w:tc>
          <w:tcPr>
            <w:tcW w:w="0" w:type="auto"/>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lastRenderedPageBreak/>
              <w:t>(556 + 56) /2 </w:t>
            </w:r>
          </w:p>
        </w:tc>
        <w:tc>
          <w:tcPr>
            <w:tcW w:w="0" w:type="auto"/>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u w:val="single"/>
              </w:rPr>
              <w:t>306</w:t>
            </w:r>
          </w:p>
        </w:tc>
      </w:tr>
      <w:tr w:rsidR="00441ECB" w:rsidRPr="00441ECB" w:rsidTr="00441ECB">
        <w:tc>
          <w:tcPr>
            <w:tcW w:w="3000" w:type="dxa"/>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ARR</w:t>
            </w:r>
          </w:p>
        </w:tc>
        <w:tc>
          <w:tcPr>
            <w:tcW w:w="0" w:type="auto"/>
            <w:tcMar>
              <w:top w:w="48" w:type="dxa"/>
              <w:left w:w="48" w:type="dxa"/>
              <w:bottom w:w="240" w:type="dxa"/>
              <w:right w:w="240" w:type="dxa"/>
            </w:tcMar>
            <w:hideMark/>
          </w:tcPr>
          <w:p w:rsidR="00441ECB" w:rsidRPr="00441ECB" w:rsidRDefault="00441ECB" w:rsidP="00441ECB">
            <w:pPr>
              <w:spacing w:before="480" w:after="240" w:line="288" w:lineRule="atLeast"/>
              <w:rPr>
                <w:rFonts w:ascii="Arial" w:eastAsia="Times New Roman" w:hAnsi="Arial" w:cs="Arial"/>
                <w:color w:val="000000"/>
                <w:sz w:val="24"/>
                <w:szCs w:val="24"/>
              </w:rPr>
            </w:pPr>
            <w:r w:rsidRPr="00441ECB">
              <w:rPr>
                <w:rFonts w:ascii="Arial" w:eastAsia="Times New Roman" w:hAnsi="Arial" w:cs="Arial"/>
                <w:color w:val="000000"/>
                <w:sz w:val="24"/>
                <w:szCs w:val="24"/>
              </w:rPr>
              <w:t>33%</w:t>
            </w:r>
          </w:p>
        </w:tc>
      </w:tr>
    </w:tbl>
    <w:p w:rsidR="00441ECB" w:rsidRPr="00441ECB" w:rsidRDefault="00441ECB" w:rsidP="00441ECB">
      <w:pPr>
        <w:spacing w:before="360" w:after="0" w:line="312" w:lineRule="atLeast"/>
        <w:ind w:left="240"/>
        <w:rPr>
          <w:rFonts w:ascii="Arial" w:eastAsia="Times New Roman" w:hAnsi="Arial" w:cs="Arial"/>
          <w:color w:val="333333"/>
          <w:sz w:val="24"/>
          <w:szCs w:val="24"/>
        </w:rPr>
      </w:pPr>
      <w:r w:rsidRPr="00441ECB">
        <w:rPr>
          <w:rFonts w:ascii="Arial" w:eastAsia="Times New Roman" w:hAnsi="Arial" w:cs="Arial"/>
          <w:color w:val="333333"/>
          <w:sz w:val="24"/>
          <w:szCs w:val="24"/>
        </w:rPr>
        <w:t>Be sure to demonstrate your workings.</w:t>
      </w:r>
    </w:p>
    <w:p w:rsidR="0076364A" w:rsidRPr="00441ECB" w:rsidRDefault="0076364A">
      <w:pPr>
        <w:rPr>
          <w:rFonts w:ascii="Arial" w:hAnsi="Arial" w:cs="Arial"/>
          <w:sz w:val="24"/>
          <w:szCs w:val="24"/>
        </w:rPr>
      </w:pPr>
    </w:p>
    <w:sectPr w:rsidR="0076364A" w:rsidRPr="00441ECB" w:rsidSect="007636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55336"/>
    <w:multiLevelType w:val="multilevel"/>
    <w:tmpl w:val="F02E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ECB"/>
    <w:rsid w:val="00441ECB"/>
    <w:rsid w:val="00763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E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ECB"/>
    <w:rPr>
      <w:b/>
      <w:bCs/>
    </w:rPr>
  </w:style>
  <w:style w:type="character" w:customStyle="1" w:styleId="apple-converted-space">
    <w:name w:val="apple-converted-space"/>
    <w:basedOn w:val="DefaultParagraphFont"/>
    <w:rsid w:val="00441ECB"/>
  </w:style>
</w:styles>
</file>

<file path=word/webSettings.xml><?xml version="1.0" encoding="utf-8"?>
<w:webSettings xmlns:r="http://schemas.openxmlformats.org/officeDocument/2006/relationships" xmlns:w="http://schemas.openxmlformats.org/wordprocessingml/2006/main">
  <w:divs>
    <w:div w:id="2982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 Admin</dc:creator>
  <cp:keywords/>
  <dc:description/>
  <cp:lastModifiedBy>BMC Admin</cp:lastModifiedBy>
  <cp:revision>1</cp:revision>
  <dcterms:created xsi:type="dcterms:W3CDTF">2015-04-22T07:09:00Z</dcterms:created>
  <dcterms:modified xsi:type="dcterms:W3CDTF">2015-04-22T07:11:00Z</dcterms:modified>
</cp:coreProperties>
</file>