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23" w:rsidRDefault="009A1B7A">
      <w:r>
        <w:t xml:space="preserve">Initially founded as a consulting business in 1984, Hummingbird quickly evolved into dominant player in the connectivity market. To keep pace with increased demand and </w:t>
      </w:r>
      <w:r w:rsidR="00C84215">
        <w:t>competition within the industry the comp</w:t>
      </w:r>
      <w:bookmarkStart w:id="0" w:name="_GoBack"/>
      <w:bookmarkEnd w:id="0"/>
      <w:r w:rsidR="00C84215">
        <w:t>any is expanding its activities since last year.</w:t>
      </w:r>
    </w:p>
    <w:p w:rsidR="00C84215" w:rsidRDefault="00C84215">
      <w:r>
        <w:t>One of the newly appointed management trainee, Miss Lily is preparing a note on the utilization of funds of the company in year 2011-12 as compared to that in year 2010-11. The balance sheet of the company is not available to the management trainee due to some policy matters of the company. However, she gathers information regarding some ratios of the company.</w:t>
      </w:r>
    </w:p>
    <w:p w:rsidR="00BF2B47" w:rsidRPr="00FB2D23" w:rsidRDefault="00BF2B47" w:rsidP="00FB2D23">
      <w:pPr>
        <w:pStyle w:val="NoSpacing"/>
        <w:rPr>
          <w:b/>
          <w:bCs/>
        </w:rPr>
      </w:pPr>
      <w:r w:rsidRPr="00FB2D23">
        <w:rPr>
          <w:b/>
          <w:bCs/>
        </w:rPr>
        <w:t>Year</w:t>
      </w:r>
      <w:r w:rsidRPr="00FB2D23">
        <w:rPr>
          <w:b/>
          <w:bCs/>
        </w:rPr>
        <w:tab/>
      </w:r>
      <w:r w:rsidRPr="00FB2D23">
        <w:rPr>
          <w:b/>
          <w:bCs/>
        </w:rPr>
        <w:tab/>
      </w:r>
      <w:r w:rsidRPr="00FB2D23">
        <w:rPr>
          <w:b/>
          <w:bCs/>
        </w:rPr>
        <w:tab/>
      </w:r>
      <w:r w:rsidRPr="00FB2D23">
        <w:rPr>
          <w:b/>
          <w:bCs/>
        </w:rPr>
        <w:tab/>
        <w:t>2010-11</w:t>
      </w:r>
      <w:r w:rsidRPr="00FB2D23">
        <w:rPr>
          <w:b/>
          <w:bCs/>
        </w:rPr>
        <w:tab/>
      </w:r>
      <w:r w:rsidRPr="00FB2D23">
        <w:rPr>
          <w:b/>
          <w:bCs/>
        </w:rPr>
        <w:tab/>
        <w:t>2011-12</w:t>
      </w:r>
    </w:p>
    <w:p w:rsidR="00BF2B47" w:rsidRDefault="00BF2B47" w:rsidP="00FB2D23">
      <w:pPr>
        <w:pStyle w:val="NoSpacing"/>
      </w:pPr>
      <w:r>
        <w:t>Current ratio</w:t>
      </w:r>
      <w:r>
        <w:tab/>
      </w:r>
      <w:r>
        <w:tab/>
      </w:r>
      <w:r>
        <w:tab/>
        <w:t xml:space="preserve">   2.3</w:t>
      </w:r>
      <w:r>
        <w:tab/>
      </w:r>
      <w:r>
        <w:tab/>
      </w:r>
      <w:r>
        <w:tab/>
        <w:t xml:space="preserve">   1.6</w:t>
      </w:r>
    </w:p>
    <w:p w:rsidR="00BF2B47" w:rsidRDefault="00BF2B47" w:rsidP="00FB2D23">
      <w:pPr>
        <w:pStyle w:val="NoSpacing"/>
      </w:pPr>
      <w:r>
        <w:t>Liquid ratio</w:t>
      </w:r>
      <w:r>
        <w:tab/>
      </w:r>
      <w:r>
        <w:tab/>
      </w:r>
      <w:r>
        <w:tab/>
        <w:t xml:space="preserve">   1.4</w:t>
      </w:r>
      <w:r>
        <w:tab/>
      </w:r>
      <w:r>
        <w:tab/>
      </w:r>
      <w:r>
        <w:tab/>
        <w:t xml:space="preserve">   0.7</w:t>
      </w:r>
    </w:p>
    <w:p w:rsidR="00BF2B47" w:rsidRDefault="000F34C7" w:rsidP="00FB2D23">
      <w:pPr>
        <w:pStyle w:val="NoSpacing"/>
      </w:pPr>
      <w:r>
        <w:t>Fixed asset to Proprietary funds</w:t>
      </w:r>
      <w:r>
        <w:tab/>
        <w:t xml:space="preserve">   0.75</w:t>
      </w:r>
      <w:r>
        <w:tab/>
      </w:r>
      <w:r>
        <w:tab/>
      </w:r>
      <w:r>
        <w:tab/>
        <w:t xml:space="preserve">   0.85</w:t>
      </w:r>
    </w:p>
    <w:p w:rsidR="000F34C7" w:rsidRDefault="000F34C7" w:rsidP="00FB2D23">
      <w:pPr>
        <w:pStyle w:val="NoSpacing"/>
      </w:pPr>
      <w:r>
        <w:t>Bank OD</w:t>
      </w:r>
      <w:r>
        <w:tab/>
      </w:r>
      <w:r>
        <w:tab/>
      </w:r>
      <w:r>
        <w:tab/>
        <w:t xml:space="preserve">   120,000</w:t>
      </w:r>
      <w:r>
        <w:tab/>
      </w:r>
      <w:r>
        <w:tab/>
        <w:t xml:space="preserve">   160,000</w:t>
      </w:r>
    </w:p>
    <w:p w:rsidR="000F34C7" w:rsidRDefault="000F34C7" w:rsidP="00FB2D23">
      <w:pPr>
        <w:pStyle w:val="NoSpacing"/>
      </w:pPr>
      <w:r>
        <w:t>Working capital</w:t>
      </w:r>
      <w:r w:rsidR="00FB2D23">
        <w:tab/>
      </w:r>
      <w:r w:rsidR="00FB2D23">
        <w:tab/>
      </w:r>
      <w:r w:rsidR="00FB2D23">
        <w:tab/>
        <w:t xml:space="preserve">   325,000</w:t>
      </w:r>
      <w:r w:rsidR="00FB2D23">
        <w:tab/>
      </w:r>
      <w:r w:rsidR="00FB2D23">
        <w:tab/>
        <w:t xml:space="preserve">   360,000</w:t>
      </w:r>
    </w:p>
    <w:p w:rsidR="00CA4285" w:rsidRDefault="00CA4285"/>
    <w:p w:rsidR="00CA4285" w:rsidRDefault="00CA4285">
      <w:r>
        <w:t>There were no term loans or intangible assets of the company.</w:t>
      </w:r>
    </w:p>
    <w:p w:rsidR="00CA4285" w:rsidRDefault="00CA4285">
      <w:r>
        <w:t>From the above information, prepare a comparative balance sheet for the years 2010-11 and 2011-12.</w:t>
      </w:r>
    </w:p>
    <w:sectPr w:rsidR="00CA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02"/>
    <w:rsid w:val="000F34C7"/>
    <w:rsid w:val="00106C66"/>
    <w:rsid w:val="00935602"/>
    <w:rsid w:val="009A1B7A"/>
    <w:rsid w:val="009C31E7"/>
    <w:rsid w:val="00BF2B47"/>
    <w:rsid w:val="00C84215"/>
    <w:rsid w:val="00CA4285"/>
    <w:rsid w:val="00CB520A"/>
    <w:rsid w:val="00EC06EB"/>
    <w:rsid w:val="00FB2D2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0A"/>
  </w:style>
  <w:style w:type="paragraph" w:styleId="Heading1">
    <w:name w:val="heading 1"/>
    <w:basedOn w:val="Normal"/>
    <w:next w:val="Normal"/>
    <w:link w:val="Heading1Char"/>
    <w:uiPriority w:val="9"/>
    <w:qFormat/>
    <w:rsid w:val="00CB5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CB520A"/>
    <w:pPr>
      <w:spacing w:after="100"/>
    </w:pPr>
    <w:rPr>
      <w:rFonts w:eastAsiaTheme="minorEastAsia"/>
      <w:lang w:eastAsia="ja-JP"/>
    </w:rPr>
  </w:style>
  <w:style w:type="paragraph" w:styleId="TOC2">
    <w:name w:val="toc 2"/>
    <w:basedOn w:val="Normal"/>
    <w:next w:val="Normal"/>
    <w:autoRedefine/>
    <w:uiPriority w:val="39"/>
    <w:semiHidden/>
    <w:unhideWhenUsed/>
    <w:qFormat/>
    <w:rsid w:val="00CB520A"/>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CB520A"/>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B520A"/>
    <w:pPr>
      <w:outlineLvl w:val="9"/>
    </w:pPr>
    <w:rPr>
      <w:lang w:eastAsia="ja-JP"/>
    </w:rPr>
  </w:style>
  <w:style w:type="paragraph" w:styleId="NoSpacing">
    <w:name w:val="No Spacing"/>
    <w:uiPriority w:val="1"/>
    <w:qFormat/>
    <w:rsid w:val="00FB2D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0A"/>
  </w:style>
  <w:style w:type="paragraph" w:styleId="Heading1">
    <w:name w:val="heading 1"/>
    <w:basedOn w:val="Normal"/>
    <w:next w:val="Normal"/>
    <w:link w:val="Heading1Char"/>
    <w:uiPriority w:val="9"/>
    <w:qFormat/>
    <w:rsid w:val="00CB5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CB520A"/>
    <w:pPr>
      <w:spacing w:after="100"/>
    </w:pPr>
    <w:rPr>
      <w:rFonts w:eastAsiaTheme="minorEastAsia"/>
      <w:lang w:eastAsia="ja-JP"/>
    </w:rPr>
  </w:style>
  <w:style w:type="paragraph" w:styleId="TOC2">
    <w:name w:val="toc 2"/>
    <w:basedOn w:val="Normal"/>
    <w:next w:val="Normal"/>
    <w:autoRedefine/>
    <w:uiPriority w:val="39"/>
    <w:semiHidden/>
    <w:unhideWhenUsed/>
    <w:qFormat/>
    <w:rsid w:val="00CB520A"/>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CB520A"/>
    <w:pPr>
      <w:spacing w:after="100"/>
      <w:ind w:left="440"/>
    </w:pPr>
    <w:rPr>
      <w:rFonts w:eastAsiaTheme="minorEastAsia"/>
      <w:lang w:eastAsia="ja-JP"/>
    </w:rPr>
  </w:style>
  <w:style w:type="paragraph" w:styleId="TOCHeading">
    <w:name w:val="TOC Heading"/>
    <w:basedOn w:val="Heading1"/>
    <w:next w:val="Normal"/>
    <w:uiPriority w:val="39"/>
    <w:semiHidden/>
    <w:unhideWhenUsed/>
    <w:qFormat/>
    <w:rsid w:val="00CB520A"/>
    <w:pPr>
      <w:outlineLvl w:val="9"/>
    </w:pPr>
    <w:rPr>
      <w:lang w:eastAsia="ja-JP"/>
    </w:rPr>
  </w:style>
  <w:style w:type="paragraph" w:styleId="NoSpacing">
    <w:name w:val="No Spacing"/>
    <w:uiPriority w:val="1"/>
    <w:qFormat/>
    <w:rsid w:val="00FB2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Dharamshi, Chetan Manilal</cp:lastModifiedBy>
  <cp:revision>5</cp:revision>
  <dcterms:created xsi:type="dcterms:W3CDTF">2015-01-03T15:10:00Z</dcterms:created>
  <dcterms:modified xsi:type="dcterms:W3CDTF">2015-01-03T15:29:00Z</dcterms:modified>
</cp:coreProperties>
</file>