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22" w:rsidRPr="00657922" w:rsidRDefault="00657922" w:rsidP="00657922">
      <w:pPr>
        <w:spacing w:after="0" w:line="300" w:lineRule="atLeast"/>
        <w:rPr>
          <w:rFonts w:ascii="Arial" w:eastAsia="Times New Roman" w:hAnsi="Arial" w:cs="Arial"/>
          <w:color w:val="111111"/>
          <w:sz w:val="24"/>
          <w:szCs w:val="24"/>
        </w:rPr>
      </w:pPr>
      <w:r w:rsidRPr="00657922">
        <w:rPr>
          <w:rFonts w:ascii="Arial" w:eastAsia="Times New Roman" w:hAnsi="Arial" w:cs="Arial"/>
          <w:color w:val="111111"/>
          <w:sz w:val="24"/>
          <w:szCs w:val="24"/>
        </w:rPr>
        <w:t>Respond to the following. Submit journal entries in a table in MS Word and written segments in the same Word document. Do not submit two separate documents, as only one document can be accepted. For written answers, please make sure your responses are well written, formatted per the </w:t>
      </w:r>
      <w:hyperlink r:id="rId5" w:tgtFrame="_blank" w:history="1">
        <w:r w:rsidRPr="00657922">
          <w:rPr>
            <w:rFonts w:ascii="inherit" w:eastAsia="Times New Roman" w:hAnsi="inherit" w:cs="Arial"/>
            <w:i/>
            <w:iCs/>
            <w:color w:val="AF872D"/>
            <w:sz w:val="20"/>
            <w:u w:val="single"/>
          </w:rPr>
          <w:t>CSU-Global Guide to Writing and APA Requirements</w:t>
        </w:r>
      </w:hyperlink>
      <w:r w:rsidRPr="00657922">
        <w:rPr>
          <w:rFonts w:ascii="Arial" w:eastAsia="Times New Roman" w:hAnsi="Arial" w:cs="Arial"/>
          <w:color w:val="111111"/>
          <w:sz w:val="24"/>
          <w:szCs w:val="24"/>
        </w:rPr>
        <w:t> and have proper citations, if applicable.</w:t>
      </w:r>
    </w:p>
    <w:p w:rsidR="00657922" w:rsidRPr="00657922" w:rsidRDefault="00657922" w:rsidP="00657922">
      <w:pPr>
        <w:spacing w:before="240" w:after="240" w:line="300" w:lineRule="atLeast"/>
        <w:rPr>
          <w:rFonts w:ascii="Arial" w:eastAsia="Times New Roman" w:hAnsi="Arial" w:cs="Arial"/>
          <w:color w:val="111111"/>
          <w:sz w:val="24"/>
          <w:szCs w:val="24"/>
        </w:rPr>
      </w:pPr>
      <w:r w:rsidRPr="00657922">
        <w:rPr>
          <w:rFonts w:ascii="Arial" w:eastAsia="Times New Roman" w:hAnsi="Arial" w:cs="Arial"/>
          <w:color w:val="111111"/>
          <w:sz w:val="24"/>
          <w:szCs w:val="24"/>
        </w:rPr>
        <w:t>Garner Company began operations on January 1, 2015, and uses the average cost method of pricing inventory. Management is contemplating a change in inventory methods for 2018. The following information is available for the years 2015–2017.</w:t>
      </w:r>
    </w:p>
    <w:tbl>
      <w:tblPr>
        <w:tblW w:w="6075"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25"/>
        <w:gridCol w:w="2595"/>
        <w:gridCol w:w="1414"/>
        <w:gridCol w:w="1441"/>
      </w:tblGrid>
      <w:tr w:rsidR="00657922" w:rsidRPr="00657922" w:rsidTr="0065792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7922" w:rsidRPr="00657922" w:rsidRDefault="00657922" w:rsidP="00657922">
            <w:pPr>
              <w:spacing w:before="240" w:after="240" w:line="300" w:lineRule="atLeast"/>
              <w:jc w:val="center"/>
              <w:rPr>
                <w:rFonts w:ascii="inherit" w:eastAsia="Times New Roman" w:hAnsi="inherit" w:cs="Arial"/>
                <w:color w:val="111111"/>
                <w:sz w:val="20"/>
                <w:szCs w:val="20"/>
              </w:rPr>
            </w:pPr>
            <w:r w:rsidRPr="00657922">
              <w:rPr>
                <w:rFonts w:ascii="inherit" w:eastAsia="Times New Roman" w:hAnsi="inherit" w:cs="Arial"/>
                <w:color w:val="111111"/>
                <w:sz w:val="20"/>
                <w:szCs w:val="20"/>
              </w:rPr>
              <w:t>Net Income Computed Using</w:t>
            </w:r>
          </w:p>
        </w:tc>
      </w:tr>
      <w:tr w:rsidR="00657922" w:rsidRPr="00657922" w:rsidTr="00657922">
        <w:trPr>
          <w:tblCellSpacing w:w="15"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657922" w:rsidRPr="00657922" w:rsidRDefault="00657922" w:rsidP="00657922">
            <w:pPr>
              <w:spacing w:after="0" w:line="300" w:lineRule="atLeast"/>
              <w:rPr>
                <w:rFonts w:ascii="inherit" w:eastAsia="Times New Roman" w:hAnsi="inherit" w:cs="Arial"/>
                <w:color w:val="111111"/>
                <w:sz w:val="20"/>
                <w:szCs w:val="20"/>
              </w:rPr>
            </w:pPr>
            <w:r w:rsidRPr="00657922">
              <w:rPr>
                <w:rFonts w:ascii="inherit" w:eastAsia="Times New Roman" w:hAnsi="inherit" w:cs="Arial"/>
                <w:color w:val="111111"/>
                <w:sz w:val="20"/>
                <w:szCs w:val="20"/>
              </w:rPr>
              <w:t> </w:t>
            </w:r>
          </w:p>
        </w:tc>
        <w:tc>
          <w:tcPr>
            <w:tcW w:w="2565" w:type="dxa"/>
            <w:tcBorders>
              <w:top w:val="outset" w:sz="6" w:space="0" w:color="auto"/>
              <w:left w:val="outset" w:sz="6" w:space="0" w:color="auto"/>
              <w:bottom w:val="outset" w:sz="6" w:space="0" w:color="auto"/>
              <w:right w:val="outset" w:sz="6" w:space="0" w:color="auto"/>
            </w:tcBorders>
            <w:vAlign w:val="center"/>
            <w:hideMark/>
          </w:tcPr>
          <w:p w:rsidR="00657922" w:rsidRPr="00657922" w:rsidRDefault="00657922" w:rsidP="00657922">
            <w:pPr>
              <w:spacing w:before="240" w:after="240" w:line="300" w:lineRule="atLeast"/>
              <w:jc w:val="center"/>
              <w:rPr>
                <w:rFonts w:ascii="inherit" w:eastAsia="Times New Roman" w:hAnsi="inherit" w:cs="Arial"/>
                <w:color w:val="111111"/>
                <w:sz w:val="20"/>
                <w:szCs w:val="20"/>
              </w:rPr>
            </w:pPr>
            <w:r w:rsidRPr="00657922">
              <w:rPr>
                <w:rFonts w:ascii="inherit" w:eastAsia="Times New Roman" w:hAnsi="inherit" w:cs="Arial"/>
                <w:color w:val="111111"/>
                <w:sz w:val="20"/>
                <w:szCs w:val="20"/>
              </w:rPr>
              <w:t>Average Cost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657922" w:rsidRPr="00657922" w:rsidRDefault="00657922" w:rsidP="00657922">
            <w:pPr>
              <w:spacing w:before="240" w:after="240" w:line="300" w:lineRule="atLeast"/>
              <w:jc w:val="center"/>
              <w:rPr>
                <w:rFonts w:ascii="inherit" w:eastAsia="Times New Roman" w:hAnsi="inherit" w:cs="Arial"/>
                <w:color w:val="111111"/>
                <w:sz w:val="20"/>
                <w:szCs w:val="20"/>
              </w:rPr>
            </w:pPr>
            <w:r w:rsidRPr="00657922">
              <w:rPr>
                <w:rFonts w:ascii="inherit" w:eastAsia="Times New Roman" w:hAnsi="inherit" w:cs="Arial"/>
                <w:color w:val="111111"/>
                <w:sz w:val="20"/>
                <w:szCs w:val="20"/>
              </w:rPr>
              <w:t>FIFO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657922" w:rsidRPr="00657922" w:rsidRDefault="00657922" w:rsidP="00657922">
            <w:pPr>
              <w:spacing w:before="240" w:after="240" w:line="300" w:lineRule="atLeast"/>
              <w:jc w:val="center"/>
              <w:rPr>
                <w:rFonts w:ascii="inherit" w:eastAsia="Times New Roman" w:hAnsi="inherit" w:cs="Arial"/>
                <w:color w:val="111111"/>
                <w:sz w:val="20"/>
                <w:szCs w:val="20"/>
              </w:rPr>
            </w:pPr>
            <w:r w:rsidRPr="00657922">
              <w:rPr>
                <w:rFonts w:ascii="inherit" w:eastAsia="Times New Roman" w:hAnsi="inherit" w:cs="Arial"/>
                <w:color w:val="111111"/>
                <w:sz w:val="20"/>
                <w:szCs w:val="20"/>
              </w:rPr>
              <w:t>LIFO Method</w:t>
            </w:r>
          </w:p>
        </w:tc>
      </w:tr>
      <w:tr w:rsidR="00657922" w:rsidRPr="00657922" w:rsidTr="00657922">
        <w:trPr>
          <w:tblCellSpacing w:w="15"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657922" w:rsidRPr="00657922" w:rsidRDefault="00657922" w:rsidP="00657922">
            <w:pPr>
              <w:spacing w:before="240" w:after="240" w:line="300" w:lineRule="atLeast"/>
              <w:jc w:val="right"/>
              <w:rPr>
                <w:rFonts w:ascii="inherit" w:eastAsia="Times New Roman" w:hAnsi="inherit" w:cs="Arial"/>
                <w:color w:val="111111"/>
                <w:sz w:val="20"/>
                <w:szCs w:val="20"/>
              </w:rPr>
            </w:pPr>
            <w:r w:rsidRPr="00657922">
              <w:rPr>
                <w:rFonts w:ascii="inherit" w:eastAsia="Times New Roman" w:hAnsi="inherit" w:cs="Arial"/>
                <w:color w:val="111111"/>
                <w:sz w:val="20"/>
                <w:szCs w:val="20"/>
              </w:rPr>
              <w:t>2015</w:t>
            </w:r>
          </w:p>
        </w:tc>
        <w:tc>
          <w:tcPr>
            <w:tcW w:w="2565" w:type="dxa"/>
            <w:tcBorders>
              <w:top w:val="outset" w:sz="6" w:space="0" w:color="auto"/>
              <w:left w:val="outset" w:sz="6" w:space="0" w:color="auto"/>
              <w:bottom w:val="outset" w:sz="6" w:space="0" w:color="auto"/>
              <w:right w:val="outset" w:sz="6" w:space="0" w:color="auto"/>
            </w:tcBorders>
            <w:vAlign w:val="center"/>
            <w:hideMark/>
          </w:tcPr>
          <w:p w:rsidR="00657922" w:rsidRPr="00657922" w:rsidRDefault="00657922" w:rsidP="00657922">
            <w:pPr>
              <w:spacing w:before="240" w:after="240" w:line="300" w:lineRule="atLeast"/>
              <w:jc w:val="center"/>
              <w:rPr>
                <w:rFonts w:ascii="inherit" w:eastAsia="Times New Roman" w:hAnsi="inherit" w:cs="Arial"/>
                <w:color w:val="111111"/>
                <w:sz w:val="20"/>
                <w:szCs w:val="20"/>
              </w:rPr>
            </w:pPr>
            <w:r w:rsidRPr="00657922">
              <w:rPr>
                <w:rFonts w:ascii="inherit" w:eastAsia="Times New Roman" w:hAnsi="inherit" w:cs="Arial"/>
                <w:color w:val="111111"/>
                <w:sz w:val="20"/>
                <w:szCs w:val="20"/>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57922" w:rsidRPr="00657922" w:rsidRDefault="00657922" w:rsidP="00657922">
            <w:pPr>
              <w:spacing w:before="240" w:after="240" w:line="300" w:lineRule="atLeast"/>
              <w:jc w:val="center"/>
              <w:rPr>
                <w:rFonts w:ascii="inherit" w:eastAsia="Times New Roman" w:hAnsi="inherit" w:cs="Arial"/>
                <w:color w:val="111111"/>
                <w:sz w:val="20"/>
                <w:szCs w:val="20"/>
              </w:rPr>
            </w:pPr>
            <w:r w:rsidRPr="00657922">
              <w:rPr>
                <w:rFonts w:ascii="inherit" w:eastAsia="Times New Roman" w:hAnsi="inherit" w:cs="Arial"/>
                <w:color w:val="111111"/>
                <w:sz w:val="20"/>
                <w:szCs w:val="20"/>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57922" w:rsidRPr="00657922" w:rsidRDefault="00657922" w:rsidP="00657922">
            <w:pPr>
              <w:spacing w:before="240" w:after="240" w:line="300" w:lineRule="atLeast"/>
              <w:jc w:val="center"/>
              <w:rPr>
                <w:rFonts w:ascii="inherit" w:eastAsia="Times New Roman" w:hAnsi="inherit" w:cs="Arial"/>
                <w:color w:val="111111"/>
                <w:sz w:val="20"/>
                <w:szCs w:val="20"/>
              </w:rPr>
            </w:pPr>
            <w:r w:rsidRPr="00657922">
              <w:rPr>
                <w:rFonts w:ascii="inherit" w:eastAsia="Times New Roman" w:hAnsi="inherit" w:cs="Arial"/>
                <w:color w:val="111111"/>
                <w:sz w:val="20"/>
                <w:szCs w:val="20"/>
              </w:rPr>
              <w:t>$12,000</w:t>
            </w:r>
          </w:p>
        </w:tc>
      </w:tr>
      <w:tr w:rsidR="00657922" w:rsidRPr="00657922" w:rsidTr="00657922">
        <w:trPr>
          <w:tblCellSpacing w:w="15"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657922" w:rsidRPr="00657922" w:rsidRDefault="00657922" w:rsidP="00657922">
            <w:pPr>
              <w:spacing w:before="240" w:after="240" w:line="300" w:lineRule="atLeast"/>
              <w:jc w:val="right"/>
              <w:rPr>
                <w:rFonts w:ascii="inherit" w:eastAsia="Times New Roman" w:hAnsi="inherit" w:cs="Arial"/>
                <w:color w:val="111111"/>
                <w:sz w:val="20"/>
                <w:szCs w:val="20"/>
              </w:rPr>
            </w:pPr>
            <w:r w:rsidRPr="00657922">
              <w:rPr>
                <w:rFonts w:ascii="inherit" w:eastAsia="Times New Roman" w:hAnsi="inherit" w:cs="Arial"/>
                <w:color w:val="111111"/>
                <w:sz w:val="20"/>
                <w:szCs w:val="20"/>
              </w:rPr>
              <w:t>2016</w:t>
            </w:r>
          </w:p>
        </w:tc>
        <w:tc>
          <w:tcPr>
            <w:tcW w:w="2565" w:type="dxa"/>
            <w:tcBorders>
              <w:top w:val="outset" w:sz="6" w:space="0" w:color="auto"/>
              <w:left w:val="outset" w:sz="6" w:space="0" w:color="auto"/>
              <w:bottom w:val="outset" w:sz="6" w:space="0" w:color="auto"/>
              <w:right w:val="outset" w:sz="6" w:space="0" w:color="auto"/>
            </w:tcBorders>
            <w:vAlign w:val="center"/>
            <w:hideMark/>
          </w:tcPr>
          <w:p w:rsidR="00657922" w:rsidRPr="00657922" w:rsidRDefault="00657922" w:rsidP="00657922">
            <w:pPr>
              <w:spacing w:before="240" w:after="240" w:line="300" w:lineRule="atLeast"/>
              <w:jc w:val="center"/>
              <w:rPr>
                <w:rFonts w:ascii="inherit" w:eastAsia="Times New Roman" w:hAnsi="inherit" w:cs="Arial"/>
                <w:color w:val="111111"/>
                <w:sz w:val="20"/>
                <w:szCs w:val="20"/>
              </w:rPr>
            </w:pPr>
            <w:r w:rsidRPr="00657922">
              <w:rPr>
                <w:rFonts w:ascii="inherit" w:eastAsia="Times New Roman" w:hAnsi="inherit" w:cs="Arial"/>
                <w:color w:val="111111"/>
                <w:sz w:val="20"/>
                <w:szCs w:val="20"/>
              </w:rPr>
              <w:t>18,000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57922" w:rsidRPr="00657922" w:rsidRDefault="00657922" w:rsidP="00657922">
            <w:pPr>
              <w:spacing w:before="240" w:after="240" w:line="300" w:lineRule="atLeast"/>
              <w:jc w:val="center"/>
              <w:rPr>
                <w:rFonts w:ascii="inherit" w:eastAsia="Times New Roman" w:hAnsi="inherit" w:cs="Arial"/>
                <w:color w:val="111111"/>
                <w:sz w:val="20"/>
                <w:szCs w:val="20"/>
              </w:rPr>
            </w:pPr>
            <w:r w:rsidRPr="00657922">
              <w:rPr>
                <w:rFonts w:ascii="inherit" w:eastAsia="Times New Roman" w:hAnsi="inherit" w:cs="Arial"/>
                <w:color w:val="111111"/>
                <w:sz w:val="20"/>
                <w:szCs w:val="20"/>
              </w:rPr>
              <w:t>24,000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57922" w:rsidRPr="00657922" w:rsidRDefault="00657922" w:rsidP="00657922">
            <w:pPr>
              <w:spacing w:before="240" w:after="240" w:line="300" w:lineRule="atLeast"/>
              <w:jc w:val="center"/>
              <w:rPr>
                <w:rFonts w:ascii="inherit" w:eastAsia="Times New Roman" w:hAnsi="inherit" w:cs="Arial"/>
                <w:color w:val="111111"/>
                <w:sz w:val="20"/>
                <w:szCs w:val="20"/>
              </w:rPr>
            </w:pPr>
            <w:r w:rsidRPr="00657922">
              <w:rPr>
                <w:rFonts w:ascii="inherit" w:eastAsia="Times New Roman" w:hAnsi="inherit" w:cs="Arial"/>
                <w:color w:val="111111"/>
                <w:sz w:val="20"/>
                <w:szCs w:val="20"/>
              </w:rPr>
              <w:t>14,000</w:t>
            </w:r>
          </w:p>
        </w:tc>
      </w:tr>
      <w:tr w:rsidR="00657922" w:rsidRPr="00657922" w:rsidTr="00657922">
        <w:trPr>
          <w:tblCellSpacing w:w="15"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657922" w:rsidRPr="00657922" w:rsidRDefault="00657922" w:rsidP="00657922">
            <w:pPr>
              <w:spacing w:before="240" w:after="240" w:line="300" w:lineRule="atLeast"/>
              <w:jc w:val="right"/>
              <w:rPr>
                <w:rFonts w:ascii="inherit" w:eastAsia="Times New Roman" w:hAnsi="inherit" w:cs="Arial"/>
                <w:color w:val="111111"/>
                <w:sz w:val="20"/>
                <w:szCs w:val="20"/>
              </w:rPr>
            </w:pPr>
            <w:r w:rsidRPr="00657922">
              <w:rPr>
                <w:rFonts w:ascii="inherit" w:eastAsia="Times New Roman" w:hAnsi="inherit" w:cs="Arial"/>
                <w:color w:val="111111"/>
                <w:sz w:val="20"/>
                <w:szCs w:val="20"/>
              </w:rPr>
              <w:t>2017</w:t>
            </w:r>
          </w:p>
        </w:tc>
        <w:tc>
          <w:tcPr>
            <w:tcW w:w="2565" w:type="dxa"/>
            <w:tcBorders>
              <w:top w:val="outset" w:sz="6" w:space="0" w:color="auto"/>
              <w:left w:val="outset" w:sz="6" w:space="0" w:color="auto"/>
              <w:bottom w:val="outset" w:sz="6" w:space="0" w:color="auto"/>
              <w:right w:val="outset" w:sz="6" w:space="0" w:color="auto"/>
            </w:tcBorders>
            <w:vAlign w:val="center"/>
            <w:hideMark/>
          </w:tcPr>
          <w:p w:rsidR="00657922" w:rsidRPr="00657922" w:rsidRDefault="00657922" w:rsidP="00657922">
            <w:pPr>
              <w:spacing w:before="240" w:after="240" w:line="300" w:lineRule="atLeast"/>
              <w:jc w:val="center"/>
              <w:rPr>
                <w:rFonts w:ascii="inherit" w:eastAsia="Times New Roman" w:hAnsi="inherit" w:cs="Arial"/>
                <w:color w:val="111111"/>
                <w:sz w:val="20"/>
                <w:szCs w:val="20"/>
              </w:rPr>
            </w:pPr>
            <w:r w:rsidRPr="00657922">
              <w:rPr>
                <w:rFonts w:ascii="inherit" w:eastAsia="Times New Roman" w:hAnsi="inherit" w:cs="Arial"/>
                <w:color w:val="111111"/>
                <w:sz w:val="20"/>
                <w:szCs w:val="20"/>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57922" w:rsidRPr="00657922" w:rsidRDefault="00657922" w:rsidP="00657922">
            <w:pPr>
              <w:spacing w:before="240" w:after="240" w:line="300" w:lineRule="atLeast"/>
              <w:jc w:val="center"/>
              <w:rPr>
                <w:rFonts w:ascii="inherit" w:eastAsia="Times New Roman" w:hAnsi="inherit" w:cs="Arial"/>
                <w:color w:val="111111"/>
                <w:sz w:val="20"/>
                <w:szCs w:val="20"/>
              </w:rPr>
            </w:pPr>
            <w:r w:rsidRPr="00657922">
              <w:rPr>
                <w:rFonts w:ascii="inherit" w:eastAsia="Times New Roman" w:hAnsi="inherit" w:cs="Arial"/>
                <w:color w:val="111111"/>
                <w:sz w:val="20"/>
                <w:szCs w:val="20"/>
              </w:rPr>
              <w:t>27,000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57922" w:rsidRPr="00657922" w:rsidRDefault="00657922" w:rsidP="00657922">
            <w:pPr>
              <w:spacing w:before="240" w:after="240" w:line="300" w:lineRule="atLeast"/>
              <w:jc w:val="center"/>
              <w:rPr>
                <w:rFonts w:ascii="inherit" w:eastAsia="Times New Roman" w:hAnsi="inherit" w:cs="Arial"/>
                <w:color w:val="111111"/>
                <w:sz w:val="20"/>
                <w:szCs w:val="20"/>
              </w:rPr>
            </w:pPr>
            <w:r w:rsidRPr="00657922">
              <w:rPr>
                <w:rFonts w:ascii="inherit" w:eastAsia="Times New Roman" w:hAnsi="inherit" w:cs="Arial"/>
                <w:color w:val="111111"/>
                <w:sz w:val="20"/>
                <w:szCs w:val="20"/>
              </w:rPr>
              <w:t>17,000</w:t>
            </w:r>
          </w:p>
        </w:tc>
      </w:tr>
    </w:tbl>
    <w:p w:rsidR="00657922" w:rsidRPr="00657922" w:rsidRDefault="00657922" w:rsidP="00657922">
      <w:pPr>
        <w:spacing w:before="240" w:after="240" w:line="300" w:lineRule="atLeast"/>
        <w:rPr>
          <w:rFonts w:ascii="Arial" w:eastAsia="Times New Roman" w:hAnsi="Arial" w:cs="Arial"/>
          <w:color w:val="111111"/>
          <w:sz w:val="24"/>
          <w:szCs w:val="24"/>
        </w:rPr>
      </w:pPr>
      <w:r w:rsidRPr="00657922">
        <w:rPr>
          <w:rFonts w:ascii="Arial" w:eastAsia="Times New Roman" w:hAnsi="Arial" w:cs="Arial"/>
          <w:color w:val="111111"/>
          <w:sz w:val="24"/>
          <w:szCs w:val="24"/>
        </w:rPr>
        <w:t xml:space="preserve">On January 1, 2017, Garner issued 10-year, $200,000 face value, </w:t>
      </w:r>
      <w:proofErr w:type="gramStart"/>
      <w:r w:rsidRPr="00657922">
        <w:rPr>
          <w:rFonts w:ascii="Arial" w:eastAsia="Times New Roman" w:hAnsi="Arial" w:cs="Arial"/>
          <w:color w:val="111111"/>
          <w:sz w:val="24"/>
          <w:szCs w:val="24"/>
        </w:rPr>
        <w:t>6</w:t>
      </w:r>
      <w:proofErr w:type="gramEnd"/>
      <w:r w:rsidRPr="00657922">
        <w:rPr>
          <w:rFonts w:ascii="Arial" w:eastAsia="Times New Roman" w:hAnsi="Arial" w:cs="Arial"/>
          <w:color w:val="111111"/>
          <w:sz w:val="24"/>
          <w:szCs w:val="24"/>
        </w:rPr>
        <w:t>% bonds, at par. Each $1,000 bond is convertible into 30 shares of Garner common stock. The company has had 10,000 common shares outstanding throughout its life. None of the bonds have been exercised as of the end of 2018. (Ignore tax effects.)</w:t>
      </w:r>
    </w:p>
    <w:p w:rsidR="00657922" w:rsidRPr="00657922" w:rsidRDefault="00657922" w:rsidP="00657922">
      <w:pPr>
        <w:spacing w:after="0" w:line="300" w:lineRule="atLeast"/>
        <w:rPr>
          <w:rFonts w:ascii="Arial" w:eastAsia="Times New Roman" w:hAnsi="Arial" w:cs="Arial"/>
          <w:color w:val="111111"/>
          <w:sz w:val="24"/>
          <w:szCs w:val="24"/>
        </w:rPr>
      </w:pPr>
      <w:hyperlink r:id="rId6" w:tgtFrame="_blank" w:history="1">
        <w:r w:rsidRPr="00657922">
          <w:rPr>
            <w:rFonts w:ascii="inherit" w:eastAsia="Times New Roman" w:hAnsi="inherit" w:cs="Arial"/>
            <w:color w:val="AF872D"/>
            <w:sz w:val="20"/>
            <w:u w:val="single"/>
          </w:rPr>
          <w:t>Click here to download the Excel Template</w:t>
        </w:r>
      </w:hyperlink>
      <w:r w:rsidRPr="00657922">
        <w:rPr>
          <w:rFonts w:ascii="Arial" w:eastAsia="Times New Roman" w:hAnsi="Arial" w:cs="Arial"/>
          <w:color w:val="111111"/>
          <w:sz w:val="24"/>
          <w:szCs w:val="24"/>
        </w:rPr>
        <w:t> containing the spreadsheet you will need for this exercise.</w:t>
      </w:r>
    </w:p>
    <w:p w:rsidR="00657922" w:rsidRPr="00657922" w:rsidRDefault="00657922" w:rsidP="00657922">
      <w:pPr>
        <w:numPr>
          <w:ilvl w:val="0"/>
          <w:numId w:val="1"/>
        </w:numPr>
        <w:spacing w:after="0" w:line="300" w:lineRule="atLeast"/>
        <w:ind w:left="0"/>
        <w:rPr>
          <w:rFonts w:ascii="inherit" w:eastAsia="Times New Roman" w:hAnsi="inherit" w:cs="Arial"/>
          <w:color w:val="111111"/>
          <w:sz w:val="20"/>
          <w:szCs w:val="20"/>
        </w:rPr>
      </w:pPr>
      <w:r w:rsidRPr="00657922">
        <w:rPr>
          <w:rFonts w:ascii="inherit" w:eastAsia="Times New Roman" w:hAnsi="inherit" w:cs="Arial"/>
          <w:color w:val="111111"/>
          <w:sz w:val="20"/>
          <w:szCs w:val="20"/>
        </w:rPr>
        <w:t>Using the spreadsheet Journal Entries, prepare the journal entry necessary to record a change from the average cost method to the FIFO method in 2018.</w:t>
      </w:r>
    </w:p>
    <w:p w:rsidR="00657922" w:rsidRPr="00657922" w:rsidRDefault="00657922" w:rsidP="00657922">
      <w:pPr>
        <w:numPr>
          <w:ilvl w:val="0"/>
          <w:numId w:val="1"/>
        </w:numPr>
        <w:spacing w:after="0" w:line="300" w:lineRule="atLeast"/>
        <w:ind w:left="0"/>
        <w:rPr>
          <w:rFonts w:ascii="inherit" w:eastAsia="Times New Roman" w:hAnsi="inherit" w:cs="Arial"/>
          <w:color w:val="111111"/>
          <w:sz w:val="20"/>
          <w:szCs w:val="20"/>
        </w:rPr>
      </w:pPr>
      <w:r w:rsidRPr="00657922">
        <w:rPr>
          <w:rFonts w:ascii="inherit" w:eastAsia="Times New Roman" w:hAnsi="inherit" w:cs="Arial"/>
          <w:color w:val="111111"/>
          <w:sz w:val="20"/>
          <w:szCs w:val="20"/>
        </w:rPr>
        <w:t>Assume Garner Company used the LIFO method instead of the average cost method during the years 2015–2017. In 2018, Garner changed to the FIFO method. Using the spreadsheet Journal Entries, prepare the journal entry necessary to record the change in accounting principle.</w:t>
      </w:r>
    </w:p>
    <w:p w:rsidR="00657922" w:rsidRPr="00657922" w:rsidRDefault="00657922" w:rsidP="00657922">
      <w:pPr>
        <w:numPr>
          <w:ilvl w:val="0"/>
          <w:numId w:val="1"/>
        </w:numPr>
        <w:spacing w:after="0" w:line="300" w:lineRule="atLeast"/>
        <w:ind w:left="0"/>
        <w:rPr>
          <w:rFonts w:ascii="inherit" w:eastAsia="Times New Roman" w:hAnsi="inherit" w:cs="Arial"/>
          <w:color w:val="111111"/>
          <w:sz w:val="20"/>
          <w:szCs w:val="20"/>
        </w:rPr>
      </w:pPr>
      <w:r w:rsidRPr="00657922">
        <w:rPr>
          <w:rFonts w:ascii="inherit" w:eastAsia="Times New Roman" w:hAnsi="inherit" w:cs="Arial"/>
          <w:color w:val="111111"/>
          <w:sz w:val="20"/>
          <w:szCs w:val="20"/>
        </w:rPr>
        <w:t>Assume Garner had the accounting change described in (2); Garner’s income in 2018 was $30,000. Compute basic and diluted earnings per share for Garner Company for 2018. Show how income and EPS will be reported for 2018 and 2017.</w:t>
      </w:r>
    </w:p>
    <w:p w:rsidR="0005532C" w:rsidRDefault="0005532C"/>
    <w:sectPr w:rsidR="0005532C" w:rsidSect="000553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B4C"/>
    <w:multiLevelType w:val="multilevel"/>
    <w:tmpl w:val="82DC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922"/>
    <w:rsid w:val="0005532C"/>
    <w:rsid w:val="00657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7922"/>
  </w:style>
  <w:style w:type="character" w:styleId="Hyperlink">
    <w:name w:val="Hyperlink"/>
    <w:basedOn w:val="DefaultParagraphFont"/>
    <w:uiPriority w:val="99"/>
    <w:semiHidden/>
    <w:unhideWhenUsed/>
    <w:rsid w:val="00657922"/>
    <w:rPr>
      <w:color w:val="0000FF"/>
      <w:u w:val="single"/>
    </w:rPr>
  </w:style>
  <w:style w:type="character" w:styleId="Emphasis">
    <w:name w:val="Emphasis"/>
    <w:basedOn w:val="DefaultParagraphFont"/>
    <w:uiPriority w:val="20"/>
    <w:qFormat/>
    <w:rsid w:val="00657922"/>
    <w:rPr>
      <w:i/>
      <w:iCs/>
    </w:rPr>
  </w:style>
</w:styles>
</file>

<file path=word/webSettings.xml><?xml version="1.0" encoding="utf-8"?>
<w:webSettings xmlns:r="http://schemas.openxmlformats.org/officeDocument/2006/relationships" xmlns:w="http://schemas.openxmlformats.org/wordprocessingml/2006/main">
  <w:divs>
    <w:div w:id="3948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uglobal.blackboard.com/bbcswebdav/pid-1635780-dt-content-rid-8875479_2/xid-8875479_2" TargetMode="External"/><Relationship Id="rId5" Type="http://schemas.openxmlformats.org/officeDocument/2006/relationships/hyperlink" Target="https://portal.csuglobal.edu/fileman/files/schoology/courses/global/documents/CSU-Global-Guide-to-Writing-and-APA-Requireme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Company>Hewlett-Packard Company</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Accountant</dc:creator>
  <cp:lastModifiedBy>Accountant</cp:lastModifiedBy>
  <cp:revision>1</cp:revision>
  <dcterms:created xsi:type="dcterms:W3CDTF">2014-12-19T19:39:00Z</dcterms:created>
  <dcterms:modified xsi:type="dcterms:W3CDTF">2014-12-19T19:40:00Z</dcterms:modified>
</cp:coreProperties>
</file>