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1D" w:rsidRPr="0005241D" w:rsidRDefault="0005241D">
      <w:pPr>
        <w:rPr>
          <w:b/>
        </w:rPr>
      </w:pPr>
      <w:bookmarkStart w:id="0" w:name="_GoBack"/>
      <w:bookmarkEnd w:id="0"/>
      <w:r w:rsidRPr="0005241D">
        <w:rPr>
          <w:b/>
        </w:rPr>
        <w:t>Practice Problem 1</w:t>
      </w:r>
    </w:p>
    <w:tbl>
      <w:tblPr>
        <w:tblStyle w:val="LightShading-Accent4"/>
        <w:tblW w:w="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1856"/>
      </w:tblGrid>
      <w:tr w:rsidR="0005241D" w:rsidRPr="0005241D" w:rsidTr="00496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sz w:val="20"/>
                <w:szCs w:val="20"/>
              </w:rPr>
              <w:t xml:space="preserve">Null Hypothesis            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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05241D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1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sz w:val="20"/>
                <w:szCs w:val="20"/>
              </w:rPr>
              <w:t>205000</w:t>
            </w:r>
          </w:p>
        </w:tc>
      </w:tr>
      <w:tr w:rsidR="0005241D" w:rsidRPr="0005241D" w:rsidTr="0049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sz w:val="20"/>
                <w:szCs w:val="20"/>
              </w:rPr>
              <w:t>Level of Significance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0.05</w:t>
            </w:r>
          </w:p>
        </w:tc>
      </w:tr>
      <w:tr w:rsidR="0005241D" w:rsidRPr="0005241D" w:rsidTr="00496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05241D" w:rsidRPr="0005241D" w:rsidRDefault="0005241D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sz w:val="20"/>
                <w:szCs w:val="20"/>
              </w:rPr>
              <w:t>Sample Size</w:t>
            </w:r>
          </w:p>
        </w:tc>
        <w:tc>
          <w:tcPr>
            <w:tcW w:w="1856" w:type="dxa"/>
            <w:noWrap/>
            <w:vAlign w:val="bottom"/>
            <w:hideMark/>
          </w:tcPr>
          <w:p w:rsidR="0005241D" w:rsidRPr="0005241D" w:rsidRDefault="0005241D" w:rsidP="00496D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5241D" w:rsidRPr="0005241D" w:rsidTr="0049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sz w:val="20"/>
                <w:szCs w:val="20"/>
              </w:rPr>
              <w:t>Sample Mean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216710.00</w:t>
            </w:r>
          </w:p>
        </w:tc>
      </w:tr>
      <w:tr w:rsidR="0005241D" w:rsidRPr="0005241D" w:rsidTr="00496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05241D" w:rsidRPr="0005241D" w:rsidRDefault="0005241D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sz w:val="20"/>
                <w:szCs w:val="20"/>
              </w:rPr>
              <w:t>Standard Deviation</w:t>
            </w:r>
          </w:p>
        </w:tc>
        <w:tc>
          <w:tcPr>
            <w:tcW w:w="1856" w:type="dxa"/>
            <w:noWrap/>
            <w:vAlign w:val="bottom"/>
            <w:hideMark/>
          </w:tcPr>
          <w:p w:rsidR="0005241D" w:rsidRPr="0005241D" w:rsidRDefault="0005241D" w:rsidP="00496D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43246.60</w:t>
            </w:r>
          </w:p>
        </w:tc>
      </w:tr>
      <w:tr w:rsidR="0005241D" w:rsidRPr="0005241D" w:rsidTr="0049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41D" w:rsidRPr="0005241D" w:rsidTr="00496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05241D" w:rsidRPr="0005241D" w:rsidRDefault="0005241D" w:rsidP="00496D0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Test Statistic (Computed)</w:t>
            </w:r>
          </w:p>
        </w:tc>
        <w:tc>
          <w:tcPr>
            <w:tcW w:w="1856" w:type="dxa"/>
            <w:noWrap/>
            <w:vAlign w:val="bottom"/>
            <w:hideMark/>
          </w:tcPr>
          <w:p w:rsidR="0005241D" w:rsidRPr="0005241D" w:rsidRDefault="0005241D" w:rsidP="00496D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2.71</w:t>
            </w:r>
          </w:p>
        </w:tc>
      </w:tr>
    </w:tbl>
    <w:p w:rsidR="0005241D" w:rsidRDefault="0005241D"/>
    <w:tbl>
      <w:tblPr>
        <w:tblStyle w:val="LightShading-Accent4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828"/>
        <w:gridCol w:w="1308"/>
        <w:gridCol w:w="3248"/>
        <w:gridCol w:w="53"/>
      </w:tblGrid>
      <w:tr w:rsidR="0005241D" w:rsidTr="00496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Default="0005241D" w:rsidP="00496D0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Direction of Test</w:t>
            </w:r>
          </w:p>
        </w:tc>
        <w:tc>
          <w:tcPr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Default="0005241D" w:rsidP="00496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Upper Crit Value</w:t>
            </w:r>
          </w:p>
        </w:tc>
        <w:tc>
          <w:tcPr>
            <w:tcW w:w="13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Default="0005241D" w:rsidP="00496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-Value</w:t>
            </w:r>
          </w:p>
        </w:tc>
        <w:tc>
          <w:tcPr>
            <w:tcW w:w="33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Default="0005241D" w:rsidP="00496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Decision</w:t>
            </w:r>
          </w:p>
        </w:tc>
      </w:tr>
      <w:tr w:rsidR="0005241D" w:rsidRPr="0005241D" w:rsidTr="00496D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sz w:val="20"/>
                <w:szCs w:val="20"/>
              </w:rPr>
              <w:t>Upper-Tail Test</w:t>
            </w:r>
          </w:p>
        </w:tc>
        <w:tc>
          <w:tcPr>
            <w:tcW w:w="182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05241D" w:rsidRPr="0005241D" w:rsidRDefault="0005241D" w:rsidP="00496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241D" w:rsidRPr="0005241D" w:rsidTr="00496D0E">
        <w:trPr>
          <w:gridAfter w:val="1"/>
          <w:wAfter w:w="5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noWrap/>
            <w:vAlign w:val="bottom"/>
            <w:hideMark/>
          </w:tcPr>
          <w:p w:rsidR="0005241D" w:rsidRPr="0005241D" w:rsidRDefault="0005241D" w:rsidP="00496D0E">
            <w:pPr>
              <w:jc w:val="center"/>
              <w:rPr>
                <w:rFonts w:ascii="Symbol" w:eastAsia="Times New Roman" w:hAnsi="Symbol" w:cs="Arial"/>
                <w:sz w:val="20"/>
                <w:szCs w:val="20"/>
              </w:rPr>
            </w:pP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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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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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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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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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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</w:t>
            </w:r>
            <w:r w:rsidRPr="0005241D">
              <w:rPr>
                <w:rFonts w:ascii="Symbol" w:eastAsia="Times New Roman" w:hAnsi="Symbol" w:cs="Arial"/>
                <w:sz w:val="20"/>
                <w:szCs w:val="20"/>
              </w:rPr>
              <w:t></w:t>
            </w:r>
          </w:p>
        </w:tc>
        <w:tc>
          <w:tcPr>
            <w:tcW w:w="1828" w:type="dxa"/>
            <w:noWrap/>
            <w:vAlign w:val="bottom"/>
            <w:hideMark/>
          </w:tcPr>
          <w:p w:rsidR="0005241D" w:rsidRPr="0005241D" w:rsidRDefault="0005241D" w:rsidP="00496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1.6449</w:t>
            </w:r>
          </w:p>
        </w:tc>
        <w:tc>
          <w:tcPr>
            <w:tcW w:w="1308" w:type="dxa"/>
            <w:noWrap/>
            <w:vAlign w:val="bottom"/>
            <w:hideMark/>
          </w:tcPr>
          <w:p w:rsidR="0005241D" w:rsidRPr="0005241D" w:rsidRDefault="0005241D" w:rsidP="00496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0.0034</w:t>
            </w:r>
          </w:p>
        </w:tc>
        <w:tc>
          <w:tcPr>
            <w:tcW w:w="3248" w:type="dxa"/>
            <w:noWrap/>
            <w:vAlign w:val="bottom"/>
            <w:hideMark/>
          </w:tcPr>
          <w:p w:rsidR="0005241D" w:rsidRPr="0005241D" w:rsidRDefault="0005241D" w:rsidP="00496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Reject the null hypothesis</w:t>
            </w:r>
          </w:p>
        </w:tc>
      </w:tr>
    </w:tbl>
    <w:p w:rsidR="0005241D" w:rsidRDefault="0005241D"/>
    <w:p w:rsidR="0005241D" w:rsidRDefault="0005241D">
      <w:r>
        <w:t>A</w:t>
      </w:r>
      <w:r w:rsidR="00DF0C19">
        <w:t xml:space="preserve"> One Sample Hypothesis test was conducted </w:t>
      </w:r>
      <w:r>
        <w:t xml:space="preserve">to determine if current home prices had risen </w:t>
      </w:r>
      <w:r w:rsidR="00231E44">
        <w:t xml:space="preserve">above the $205,000 average recorded in the year 2000.  </w:t>
      </w:r>
      <w:r w:rsidR="00DF0C19">
        <w:t>Using an upper-tailed test, with the p-value of .0034 being less than .05 level of significance,</w:t>
      </w:r>
      <w:r w:rsidR="00231E44">
        <w:t xml:space="preserve"> we reject the null hypothesis and </w:t>
      </w:r>
      <w:r w:rsidR="00231E44" w:rsidRPr="00231E44">
        <w:t>conclude</w:t>
      </w:r>
      <w:r w:rsidR="00231E44">
        <w:t>, based upon our sample,</w:t>
      </w:r>
      <w:r w:rsidR="00231E44" w:rsidRPr="00231E44">
        <w:t xml:space="preserve"> that the mean sales price for homes is greater than $205,000.</w:t>
      </w:r>
      <w:r w:rsidR="00231E44">
        <w:t xml:space="preserve">  This is illustrated in the graph below.</w:t>
      </w:r>
    </w:p>
    <w:p w:rsidR="0005241D" w:rsidRDefault="0005241D">
      <w:r w:rsidRPr="0005241D">
        <w:rPr>
          <w:noProof/>
        </w:rPr>
        <w:drawing>
          <wp:inline distT="0" distB="0" distL="0" distR="0">
            <wp:extent cx="5734050" cy="24669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D0E" w:rsidRDefault="00496D0E"/>
    <w:p w:rsidR="00496D0E" w:rsidRDefault="00496D0E"/>
    <w:p w:rsidR="00496D0E" w:rsidRDefault="00496D0E">
      <w:r>
        <w:br w:type="page"/>
      </w:r>
    </w:p>
    <w:p w:rsidR="00496D0E" w:rsidRPr="0005241D" w:rsidRDefault="00496D0E" w:rsidP="00496D0E">
      <w:pPr>
        <w:rPr>
          <w:b/>
        </w:rPr>
      </w:pPr>
      <w:r w:rsidRPr="0005241D">
        <w:rPr>
          <w:b/>
        </w:rPr>
        <w:lastRenderedPageBreak/>
        <w:t xml:space="preserve">Practice Problem </w:t>
      </w:r>
      <w:r>
        <w:rPr>
          <w:b/>
        </w:rPr>
        <w:t>2</w:t>
      </w:r>
    </w:p>
    <w:tbl>
      <w:tblPr>
        <w:tblStyle w:val="LightShading-Accent4"/>
        <w:tblW w:w="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1856"/>
      </w:tblGrid>
      <w:tr w:rsidR="00496D0E" w:rsidRPr="00496D0E" w:rsidTr="00496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</w:rPr>
              <w:t xml:space="preserve">Null Hypothesis            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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496D0E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1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496D0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96D0E" w:rsidRPr="00496D0E" w:rsidTr="0049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</w:rPr>
              <w:t>Level of Significance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496D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0.05</w:t>
            </w:r>
          </w:p>
        </w:tc>
      </w:tr>
      <w:tr w:rsidR="00496D0E" w:rsidRPr="00496D0E" w:rsidTr="00496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496D0E" w:rsidRPr="00496D0E" w:rsidRDefault="00496D0E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</w:rPr>
              <w:t>Sample Size</w:t>
            </w:r>
          </w:p>
        </w:tc>
        <w:tc>
          <w:tcPr>
            <w:tcW w:w="1856" w:type="dxa"/>
            <w:noWrap/>
            <w:vAlign w:val="bottom"/>
            <w:hideMark/>
          </w:tcPr>
          <w:p w:rsidR="00496D0E" w:rsidRPr="00496D0E" w:rsidRDefault="00496D0E" w:rsidP="00496D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96D0E" w:rsidRPr="00496D0E" w:rsidTr="0049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</w:rPr>
              <w:t>Sample Mean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496D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5.19</w:t>
            </w:r>
          </w:p>
        </w:tc>
      </w:tr>
      <w:tr w:rsidR="00496D0E" w:rsidRPr="00496D0E" w:rsidTr="00496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496D0E" w:rsidRPr="00496D0E" w:rsidRDefault="00496D0E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</w:rPr>
              <w:t>Standard Deviation</w:t>
            </w:r>
          </w:p>
        </w:tc>
        <w:tc>
          <w:tcPr>
            <w:tcW w:w="1856" w:type="dxa"/>
            <w:noWrap/>
            <w:vAlign w:val="bottom"/>
            <w:hideMark/>
          </w:tcPr>
          <w:p w:rsidR="00496D0E" w:rsidRPr="00496D0E" w:rsidRDefault="00496D0E" w:rsidP="00496D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2.77</w:t>
            </w:r>
          </w:p>
        </w:tc>
      </w:tr>
      <w:tr w:rsidR="00496D0E" w:rsidRPr="00496D0E" w:rsidTr="00496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496D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496D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D0E" w:rsidRPr="00496D0E" w:rsidTr="00496D0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496D0E" w:rsidRPr="00496D0E" w:rsidRDefault="00496D0E" w:rsidP="00496D0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Test Statistic (Computed)</w:t>
            </w:r>
          </w:p>
        </w:tc>
        <w:tc>
          <w:tcPr>
            <w:tcW w:w="1856" w:type="dxa"/>
            <w:noWrap/>
            <w:vAlign w:val="bottom"/>
            <w:hideMark/>
          </w:tcPr>
          <w:p w:rsidR="00496D0E" w:rsidRPr="00496D0E" w:rsidRDefault="00496D0E" w:rsidP="00496D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0.69</w:t>
            </w:r>
          </w:p>
        </w:tc>
      </w:tr>
    </w:tbl>
    <w:p w:rsidR="00496D0E" w:rsidRDefault="00496D0E"/>
    <w:tbl>
      <w:tblPr>
        <w:tblStyle w:val="LightShading-Accent4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848"/>
        <w:gridCol w:w="1752"/>
        <w:gridCol w:w="1080"/>
        <w:gridCol w:w="2250"/>
      </w:tblGrid>
      <w:tr w:rsidR="00496D0E" w:rsidRPr="00496D0E" w:rsidTr="0055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Direction of Test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Lower Crit Value</w:t>
            </w:r>
          </w:p>
        </w:tc>
        <w:tc>
          <w:tcPr>
            <w:tcW w:w="17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Upper Crit Value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496D0E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p</w:t>
            </w:r>
            <w:r w:rsidRPr="00496D0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-Value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Decision</w:t>
            </w:r>
          </w:p>
        </w:tc>
      </w:tr>
      <w:tr w:rsidR="00496D0E" w:rsidRPr="00496D0E" w:rsidTr="0055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sz w:val="20"/>
                <w:szCs w:val="20"/>
              </w:rPr>
              <w:t>Two-Tailed Test</w:t>
            </w:r>
          </w:p>
        </w:tc>
        <w:tc>
          <w:tcPr>
            <w:tcW w:w="184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not reject the null</w:t>
            </w:r>
          </w:p>
        </w:tc>
      </w:tr>
      <w:tr w:rsidR="00496D0E" w:rsidRPr="00496D0E" w:rsidTr="005571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rPr>
                <w:rFonts w:ascii="Symbol" w:eastAsia="Times New Roman" w:hAnsi="Symbol" w:cs="Arial"/>
                <w:sz w:val="20"/>
                <w:szCs w:val="20"/>
              </w:rPr>
            </w:pP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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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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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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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</w:t>
            </w:r>
            <w:r w:rsidRPr="00496D0E">
              <w:rPr>
                <w:rFonts w:ascii="Symbol" w:eastAsia="Times New Roman" w:hAnsi="Symbol" w:cs="Arial"/>
                <w:sz w:val="20"/>
                <w:szCs w:val="20"/>
              </w:rPr>
              <w:t></w:t>
            </w:r>
          </w:p>
        </w:tc>
        <w:tc>
          <w:tcPr>
            <w:tcW w:w="1848" w:type="dxa"/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-1.9600</w:t>
            </w:r>
          </w:p>
        </w:tc>
        <w:tc>
          <w:tcPr>
            <w:tcW w:w="1752" w:type="dxa"/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1.9600</w:t>
            </w:r>
          </w:p>
        </w:tc>
        <w:tc>
          <w:tcPr>
            <w:tcW w:w="1080" w:type="dxa"/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0.4921</w:t>
            </w:r>
          </w:p>
        </w:tc>
        <w:tc>
          <w:tcPr>
            <w:tcW w:w="2250" w:type="dxa"/>
            <w:noWrap/>
            <w:vAlign w:val="bottom"/>
            <w:hideMark/>
          </w:tcPr>
          <w:p w:rsidR="00496D0E" w:rsidRPr="00496D0E" w:rsidRDefault="00496D0E" w:rsidP="0055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6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hypothesis</w:t>
            </w:r>
          </w:p>
        </w:tc>
      </w:tr>
    </w:tbl>
    <w:p w:rsidR="00496D0E" w:rsidRDefault="00496D0E"/>
    <w:p w:rsidR="00557142" w:rsidRDefault="00DF0C19" w:rsidP="00557142">
      <w:r>
        <w:t>A two-tailed</w:t>
      </w:r>
      <w:r w:rsidR="00557142">
        <w:t>l test was conducted to determine if the average age of homes in the community was really five years.  Based o</w:t>
      </w:r>
      <w:r w:rsidR="0029138A">
        <w:t xml:space="preserve">n a sample of 100 homes, with a </w:t>
      </w:r>
      <w:r w:rsidR="00557142">
        <w:t>mean age of 5.19 years, there is insufficient evidence to conclude that the average age is different from the hypothesized mean</w:t>
      </w:r>
      <w:r w:rsidR="0029138A">
        <w:t xml:space="preserve"> (</w:t>
      </w:r>
      <w:r w:rsidR="0029138A" w:rsidRPr="0029138A">
        <w:rPr>
          <w:rFonts w:ascii="Symbol" w:hAnsi="Symbol"/>
        </w:rPr>
        <w:t></w:t>
      </w:r>
      <w:r w:rsidR="0029138A">
        <w:t>=5)</w:t>
      </w:r>
      <w:r w:rsidR="00557142">
        <w:t xml:space="preserve">.  </w:t>
      </w:r>
      <w:r w:rsidR="00557142" w:rsidRPr="00231E44">
        <w:t>The p-value of .</w:t>
      </w:r>
      <w:r w:rsidR="00557142">
        <w:t>4921</w:t>
      </w:r>
      <w:r w:rsidR="00557142" w:rsidRPr="00231E44">
        <w:t xml:space="preserve"> is </w:t>
      </w:r>
      <w:r w:rsidR="00557142">
        <w:t>greater</w:t>
      </w:r>
      <w:r w:rsidR="00557142" w:rsidRPr="00231E44">
        <w:t xml:space="preserve"> than .05, and s</w:t>
      </w:r>
      <w:r w:rsidR="00557142">
        <w:t>o we retain the null hypothesis that the average home is five years old.  This is illustrated in the graph below.</w:t>
      </w:r>
    </w:p>
    <w:p w:rsidR="00496D0E" w:rsidRDefault="00557142">
      <w:r w:rsidRPr="00557142">
        <w:rPr>
          <w:noProof/>
        </w:rPr>
        <w:drawing>
          <wp:inline distT="0" distB="0" distL="0" distR="0">
            <wp:extent cx="5838825" cy="35718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D0E" w:rsidRDefault="00496D0E"/>
    <w:p w:rsidR="0029138A" w:rsidRPr="0005241D" w:rsidRDefault="0029138A" w:rsidP="0029138A">
      <w:pPr>
        <w:rPr>
          <w:b/>
        </w:rPr>
      </w:pPr>
      <w:r w:rsidRPr="0005241D">
        <w:rPr>
          <w:b/>
        </w:rPr>
        <w:lastRenderedPageBreak/>
        <w:t xml:space="preserve">Practice Problem </w:t>
      </w:r>
      <w:r>
        <w:rPr>
          <w:b/>
        </w:rPr>
        <w:t>3</w:t>
      </w:r>
    </w:p>
    <w:tbl>
      <w:tblPr>
        <w:tblStyle w:val="LightShading-Accent4"/>
        <w:tblW w:w="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1976"/>
      </w:tblGrid>
      <w:tr w:rsidR="0029138A" w:rsidRPr="0029138A" w:rsidTr="00291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</w:rPr>
              <w:t xml:space="preserve">Null Hypothesis            </w:t>
            </w:r>
            <w:r w:rsidRPr="002913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 </w:t>
            </w:r>
            <w:r w:rsidRPr="0029138A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</w:tr>
      <w:tr w:rsidR="0029138A" w:rsidRPr="0029138A" w:rsidTr="0029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</w:rPr>
              <w:t>Level of Significance</w:t>
            </w:r>
          </w:p>
        </w:tc>
        <w:tc>
          <w:tcPr>
            <w:tcW w:w="19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0.05</w:t>
            </w:r>
          </w:p>
        </w:tc>
      </w:tr>
      <w:tr w:rsidR="0029138A" w:rsidRPr="0029138A" w:rsidTr="0029138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29138A" w:rsidRPr="0029138A" w:rsidRDefault="0029138A" w:rsidP="002913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Brick Homes</w:t>
            </w:r>
          </w:p>
        </w:tc>
        <w:tc>
          <w:tcPr>
            <w:tcW w:w="1976" w:type="dxa"/>
            <w:noWrap/>
            <w:vAlign w:val="bottom"/>
            <w:hideMark/>
          </w:tcPr>
          <w:p w:rsidR="0029138A" w:rsidRPr="0029138A" w:rsidRDefault="0029138A" w:rsidP="00291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9138A" w:rsidRPr="0029138A" w:rsidTr="0029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</w:rPr>
              <w:t>Sample Size</w:t>
            </w:r>
          </w:p>
        </w:tc>
        <w:tc>
          <w:tcPr>
            <w:tcW w:w="19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9138A" w:rsidRPr="0029138A" w:rsidTr="0029138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29138A" w:rsidRPr="0029138A" w:rsidRDefault="0029138A" w:rsidP="002913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29138A" w:rsidRPr="0029138A" w:rsidRDefault="0029138A" w:rsidP="00291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38A" w:rsidRPr="0029138A" w:rsidTr="0029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Sample Proportion</w:t>
            </w:r>
          </w:p>
        </w:tc>
        <w:tc>
          <w:tcPr>
            <w:tcW w:w="19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0.40</w:t>
            </w:r>
          </w:p>
        </w:tc>
      </w:tr>
      <w:tr w:rsidR="0029138A" w:rsidRPr="0029138A" w:rsidTr="0029138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noWrap/>
            <w:vAlign w:val="bottom"/>
            <w:hideMark/>
          </w:tcPr>
          <w:p w:rsidR="0029138A" w:rsidRPr="0029138A" w:rsidRDefault="0029138A" w:rsidP="002913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noWrap/>
            <w:vAlign w:val="bottom"/>
            <w:hideMark/>
          </w:tcPr>
          <w:p w:rsidR="0029138A" w:rsidRPr="0029138A" w:rsidRDefault="0029138A" w:rsidP="002913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38A" w:rsidRPr="0029138A" w:rsidTr="0029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 Test Statistic (Computed)</w:t>
            </w:r>
          </w:p>
        </w:tc>
        <w:tc>
          <w:tcPr>
            <w:tcW w:w="19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-2.00</w:t>
            </w:r>
          </w:p>
        </w:tc>
      </w:tr>
    </w:tbl>
    <w:p w:rsidR="0029138A" w:rsidRDefault="0029138A"/>
    <w:tbl>
      <w:tblPr>
        <w:tblStyle w:val="LightShading-Accent4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968"/>
        <w:gridCol w:w="1188"/>
        <w:gridCol w:w="3248"/>
      </w:tblGrid>
      <w:tr w:rsidR="0029138A" w:rsidRPr="0029138A" w:rsidTr="00291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Direction of Test</w:t>
            </w:r>
          </w:p>
        </w:tc>
        <w:tc>
          <w:tcPr>
            <w:tcW w:w="1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Lower Crit Value</w:t>
            </w:r>
          </w:p>
        </w:tc>
        <w:tc>
          <w:tcPr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29138A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p</w:t>
            </w:r>
            <w:r w:rsidRPr="002913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-Value</w:t>
            </w:r>
          </w:p>
        </w:tc>
        <w:tc>
          <w:tcPr>
            <w:tcW w:w="3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Decision</w:t>
            </w:r>
          </w:p>
        </w:tc>
      </w:tr>
      <w:tr w:rsidR="0029138A" w:rsidRPr="0029138A" w:rsidTr="0029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</w:rPr>
              <w:t>Lower-Tail Test</w:t>
            </w:r>
          </w:p>
        </w:tc>
        <w:tc>
          <w:tcPr>
            <w:tcW w:w="196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9138A" w:rsidRPr="0029138A" w:rsidTr="0029138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  <w:noWrap/>
            <w:vAlign w:val="bottom"/>
            <w:hideMark/>
          </w:tcPr>
          <w:p w:rsidR="0029138A" w:rsidRPr="0029138A" w:rsidRDefault="0029138A" w:rsidP="002913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sz w:val="20"/>
                <w:szCs w:val="20"/>
              </w:rPr>
              <w:t>H1:  P &lt; 0.5</w:t>
            </w:r>
          </w:p>
        </w:tc>
        <w:tc>
          <w:tcPr>
            <w:tcW w:w="1968" w:type="dxa"/>
            <w:noWrap/>
            <w:vAlign w:val="bottom"/>
            <w:hideMark/>
          </w:tcPr>
          <w:p w:rsidR="0029138A" w:rsidRPr="0029138A" w:rsidRDefault="0029138A" w:rsidP="00B61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-1.6449</w:t>
            </w:r>
          </w:p>
        </w:tc>
        <w:tc>
          <w:tcPr>
            <w:tcW w:w="1188" w:type="dxa"/>
            <w:noWrap/>
            <w:vAlign w:val="bottom"/>
            <w:hideMark/>
          </w:tcPr>
          <w:p w:rsidR="0029138A" w:rsidRPr="0029138A" w:rsidRDefault="0029138A" w:rsidP="00B61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0.0228</w:t>
            </w:r>
          </w:p>
        </w:tc>
        <w:tc>
          <w:tcPr>
            <w:tcW w:w="3248" w:type="dxa"/>
            <w:noWrap/>
            <w:vAlign w:val="bottom"/>
            <w:hideMark/>
          </w:tcPr>
          <w:p w:rsidR="0029138A" w:rsidRPr="0029138A" w:rsidRDefault="0029138A" w:rsidP="00B61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13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Reject the null hypothesis</w:t>
            </w:r>
          </w:p>
        </w:tc>
      </w:tr>
    </w:tbl>
    <w:p w:rsidR="0029138A" w:rsidRDefault="0029138A"/>
    <w:p w:rsidR="0029138A" w:rsidRDefault="00DF0C19">
      <w:r>
        <w:t>A lower-tailed</w:t>
      </w:r>
      <w:r w:rsidR="0008791E">
        <w:t xml:space="preserve"> test </w:t>
      </w:r>
      <w:r>
        <w:t xml:space="preserve">for proportion </w:t>
      </w:r>
      <w:r w:rsidR="0008791E">
        <w:t xml:space="preserve">was conducted to determine if </w:t>
      </w:r>
      <w:r w:rsidR="00EB454A">
        <w:t xml:space="preserve">fewer than half of the homes are made of brick.  </w:t>
      </w:r>
      <w:r w:rsidR="0008791E">
        <w:t xml:space="preserve">Based on a sample of 100 homes, </w:t>
      </w:r>
      <w:r w:rsidR="00EB454A">
        <w:t>this appears to be true</w:t>
      </w:r>
      <w:r w:rsidR="0008791E">
        <w:t xml:space="preserve">.  </w:t>
      </w:r>
      <w:r w:rsidR="00EB454A" w:rsidRPr="00EB454A">
        <w:t>The p-value of .0228 is less than .05, and s</w:t>
      </w:r>
      <w:r w:rsidR="00EB454A">
        <w:t>o we reject the null hypothesis and conclude that less than half of the homes are made of brick</w:t>
      </w:r>
      <w:r w:rsidR="0008791E">
        <w:t>.  Th</w:t>
      </w:r>
      <w:r w:rsidR="00EB454A">
        <w:t xml:space="preserve">e construction of homes </w:t>
      </w:r>
      <w:r w:rsidR="0008791E">
        <w:t>is illustrated in the graph below.</w:t>
      </w:r>
    </w:p>
    <w:p w:rsidR="0029138A" w:rsidRDefault="00EB454A">
      <w:r w:rsidRPr="00EB454A">
        <w:rPr>
          <w:noProof/>
        </w:rPr>
        <w:drawing>
          <wp:inline distT="0" distB="0" distL="0" distR="0">
            <wp:extent cx="5743575" cy="387667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9138A" w:rsidSect="00A578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8C" w:rsidRDefault="00F67C8C" w:rsidP="0005241D">
      <w:pPr>
        <w:spacing w:after="0" w:line="240" w:lineRule="auto"/>
      </w:pPr>
      <w:r>
        <w:separator/>
      </w:r>
    </w:p>
  </w:endnote>
  <w:endnote w:type="continuationSeparator" w:id="0">
    <w:p w:rsidR="00F67C8C" w:rsidRDefault="00F67C8C" w:rsidP="0005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8C" w:rsidRDefault="00F67C8C" w:rsidP="0005241D">
      <w:pPr>
        <w:spacing w:after="0" w:line="240" w:lineRule="auto"/>
      </w:pPr>
      <w:r>
        <w:separator/>
      </w:r>
    </w:p>
  </w:footnote>
  <w:footnote w:type="continuationSeparator" w:id="0">
    <w:p w:rsidR="00F67C8C" w:rsidRDefault="00F67C8C" w:rsidP="0005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1D" w:rsidRDefault="0005241D" w:rsidP="0005241D">
    <w:r>
      <w:t>Unit Three Practice Problems</w:t>
    </w:r>
  </w:p>
  <w:p w:rsidR="0005241D" w:rsidRDefault="00052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1D"/>
    <w:rsid w:val="0005241D"/>
    <w:rsid w:val="0008791E"/>
    <w:rsid w:val="00231E44"/>
    <w:rsid w:val="0029138A"/>
    <w:rsid w:val="00370A19"/>
    <w:rsid w:val="00496D0E"/>
    <w:rsid w:val="00557142"/>
    <w:rsid w:val="007E37E0"/>
    <w:rsid w:val="008E5FDF"/>
    <w:rsid w:val="00A578C5"/>
    <w:rsid w:val="00DF0C19"/>
    <w:rsid w:val="00EB454A"/>
    <w:rsid w:val="00F614BA"/>
    <w:rsid w:val="00F67C8C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A975F-3AB3-4B6B-824B-51CC3E9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1D"/>
  </w:style>
  <w:style w:type="paragraph" w:styleId="Footer">
    <w:name w:val="footer"/>
    <w:basedOn w:val="Normal"/>
    <w:link w:val="FooterChar"/>
    <w:uiPriority w:val="99"/>
    <w:semiHidden/>
    <w:unhideWhenUsed/>
    <w:rsid w:val="0005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41D"/>
  </w:style>
  <w:style w:type="table" w:styleId="LightShading-Accent2">
    <w:name w:val="Light Shading Accent 2"/>
    <w:basedOn w:val="TableNormal"/>
    <w:uiPriority w:val="60"/>
    <w:rsid w:val="000524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524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%20USER\AppData\Local\Microsoft\Windows\Temporary%20Internet%20Files\Content.Outlook\GE4JCM10\Real%20Estate%20Unit%204%20Problem%201%20--%20Hypothesis%20Test%20One%20Sampl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%20USER\AppData\Local\Microsoft\Windows\Temporary%20Internet%20Files\Content.Outlook\GE4JCM10\Real%20Estate%20Unit%204%20Problem%202%20--%20Hypothesis%20Test%20One%20Sample%20(2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%20USER\Documents\Courses\Stats%20Online\Unit%201%20Practice%20Problem%201%20--%20Categorical_Data_Analysi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Home Price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.11325611325611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148394241417488E-3"/>
                  <c:y val="0.298584298584298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&quot;$&quot;#,##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'Hyp Mean - One Sample (data)'!$J$10:$J$11</c:f>
              <c:strCache>
                <c:ptCount val="2"/>
                <c:pt idx="0">
                  <c:v>Hypothesized Mean</c:v>
                </c:pt>
                <c:pt idx="1">
                  <c:v>Sample Mean</c:v>
                </c:pt>
              </c:strCache>
            </c:strRef>
          </c:cat>
          <c:val>
            <c:numRef>
              <c:f>'Hyp Mean - One Sample (data)'!$K$10:$K$11</c:f>
              <c:numCache>
                <c:formatCode>General</c:formatCode>
                <c:ptCount val="2"/>
                <c:pt idx="0">
                  <c:v>205000</c:v>
                </c:pt>
                <c:pt idx="1">
                  <c:v>216710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496704"/>
        <c:axId val="211499056"/>
        <c:axId val="0"/>
      </c:bar3DChart>
      <c:catAx>
        <c:axId val="21149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499056"/>
        <c:crosses val="autoZero"/>
        <c:auto val="1"/>
        <c:lblAlgn val="ctr"/>
        <c:lblOffset val="100"/>
        <c:noMultiLvlLbl val="0"/>
      </c:catAx>
      <c:valAx>
        <c:axId val="211499056"/>
        <c:scaling>
          <c:orientation val="minMax"/>
        </c:scaling>
        <c:delete val="0"/>
        <c:axPos val="l"/>
        <c:majorGridlines/>
        <c:numFmt formatCode="&quot;$&quot;#,##0" sourceLinked="0"/>
        <c:majorTickMark val="out"/>
        <c:minorTickMark val="none"/>
        <c:tickLblPos val="nextTo"/>
        <c:crossAx val="21149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Age of Homes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'Hyp Mean - One Sample (data)'!$J$9:$J$10</c:f>
              <c:strCache>
                <c:ptCount val="2"/>
                <c:pt idx="0">
                  <c:v>Hypothesized Mean</c:v>
                </c:pt>
                <c:pt idx="1">
                  <c:v>Sample Mean</c:v>
                </c:pt>
              </c:strCache>
            </c:strRef>
          </c:cat>
          <c:val>
            <c:numRef>
              <c:f>'Hyp Mean - One Sample (data)'!$K$9:$K$10</c:f>
              <c:numCache>
                <c:formatCode>General</c:formatCode>
                <c:ptCount val="2"/>
                <c:pt idx="0">
                  <c:v>5</c:v>
                </c:pt>
                <c:pt idx="1">
                  <c:v>5.1899999999999995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727168"/>
        <c:axId val="213730696"/>
        <c:axId val="0"/>
      </c:bar3DChart>
      <c:catAx>
        <c:axId val="213727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730696"/>
        <c:crosses val="autoZero"/>
        <c:auto val="1"/>
        <c:lblAlgn val="ctr"/>
        <c:lblOffset val="100"/>
        <c:noMultiLvlLbl val="0"/>
      </c:catAx>
      <c:valAx>
        <c:axId val="213730696"/>
        <c:scaling>
          <c:orientation val="minMax"/>
          <c:max val="6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727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Home Construction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Charts!$E$23:$E$25</c:f>
              <c:strCache>
                <c:ptCount val="3"/>
                <c:pt idx="0">
                  <c:v>Brick</c:v>
                </c:pt>
                <c:pt idx="1">
                  <c:v>Wood</c:v>
                </c:pt>
                <c:pt idx="2">
                  <c:v>Stucco</c:v>
                </c:pt>
              </c:strCache>
            </c:strRef>
          </c:cat>
          <c:val>
            <c:numRef>
              <c:f>Charts!$F$23:$F$25</c:f>
              <c:numCache>
                <c:formatCode>General</c:formatCode>
                <c:ptCount val="3"/>
                <c:pt idx="0">
                  <c:v>0.4</c:v>
                </c:pt>
                <c:pt idx="1">
                  <c:v>0.35000000000000014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theresa bobo</cp:lastModifiedBy>
  <cp:revision>2</cp:revision>
  <dcterms:created xsi:type="dcterms:W3CDTF">2014-11-23T12:47:00Z</dcterms:created>
  <dcterms:modified xsi:type="dcterms:W3CDTF">2014-11-23T12:47:00Z</dcterms:modified>
</cp:coreProperties>
</file>