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492A">
      <w:pPr>
        <w:spacing w:after="100"/>
        <w:rPr>
          <w:rFonts w:ascii="Arial Unicode MS" w:eastAsia="Arial Unicode MS" w:hAnsi="Times New Roman" w:cs="Arial Unicode MS"/>
          <w:color w:val="CCCCCC"/>
          <w:sz w:val="28"/>
          <w:szCs w:val="28"/>
        </w:rPr>
      </w:pPr>
      <w:bookmarkStart w:id="0" w:name="_GoBack"/>
      <w:bookmarkEnd w:id="0"/>
      <w:r>
        <w:rPr>
          <w:rFonts w:ascii="Arial Unicode MS" w:eastAsia="Arial Unicode MS" w:hAnsi="Times New Roman" w:cs="Arial Unicode MS"/>
          <w:color w:val="CCCCCC"/>
          <w:sz w:val="28"/>
          <w:szCs w:val="28"/>
        </w:rPr>
        <w:t>_______________________________________________________________</w:t>
      </w:r>
    </w:p>
    <w:p w:rsidR="00000000" w:rsidRDefault="002B492A">
      <w:pPr>
        <w:spacing w:after="100"/>
        <w:rPr>
          <w:rFonts w:ascii="Arial Unicode MS" w:eastAsia="Arial Unicode MS" w:hAnsi="Times New Roman" w:cs="Arial Unicode MS"/>
          <w:color w:val="CCCCCC"/>
          <w:sz w:val="28"/>
          <w:szCs w:val="28"/>
        </w:rPr>
      </w:pPr>
    </w:p>
    <w:tbl>
      <w:tblPr>
        <w:tblW w:w="9907" w:type="dxa"/>
        <w:jc w:val="center"/>
        <w:tblLayout w:type="fixed"/>
        <w:tblCellMar>
          <w:left w:w="0" w:type="dxa"/>
          <w:right w:w="0" w:type="dxa"/>
        </w:tblCellMar>
        <w:tblLook w:val="0000" w:firstRow="0" w:lastRow="0" w:firstColumn="0" w:lastColumn="0" w:noHBand="0" w:noVBand="0"/>
      </w:tblPr>
      <w:tblGrid>
        <w:gridCol w:w="4953"/>
        <w:gridCol w:w="4954"/>
      </w:tblGrid>
      <w:tr w:rsidR="00000000">
        <w:tblPrEx>
          <w:tblCellMar>
            <w:top w:w="0" w:type="dxa"/>
            <w:bottom w:w="0" w:type="dxa"/>
          </w:tblCellMar>
        </w:tblPrEx>
        <w:trPr>
          <w:jc w:val="center"/>
        </w:trPr>
        <w:tc>
          <w:tcPr>
            <w:tcW w:w="4953" w:type="dxa"/>
            <w:tcBorders>
              <w:top w:val="nil"/>
              <w:left w:val="nil"/>
              <w:bottom w:val="nil"/>
              <w:right w:val="nil"/>
            </w:tcBorders>
            <w:shd w:val="clear" w:color="auto" w:fill="FFFFFF"/>
          </w:tcPr>
          <w:p w:rsidR="00000000" w:rsidRDefault="002B492A">
            <w:pPr>
              <w:spacing w:line="320" w:lineRule="atLeast"/>
              <w:rPr>
                <w:rFonts w:ascii="Times New Roman" w:hAnsi="Times New Roman" w:cs="Times New Roman"/>
                <w:color w:val="auto"/>
              </w:rPr>
            </w:pPr>
            <w:r>
              <w:rPr>
                <w:rFonts w:ascii="Times New Roman" w:hAnsi="Times New Roman" w:cs="Times New Roman"/>
                <w:noProof/>
                <w:color w:val="auto"/>
              </w:rPr>
              <w:drawing>
                <wp:inline distT="0" distB="0" distL="0" distR="0">
                  <wp:extent cx="11334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tc>
        <w:tc>
          <w:tcPr>
            <w:tcW w:w="4953" w:type="dxa"/>
            <w:tcBorders>
              <w:top w:val="nil"/>
              <w:left w:val="nil"/>
              <w:bottom w:val="nil"/>
              <w:right w:val="nil"/>
            </w:tcBorders>
            <w:shd w:val="clear" w:color="auto" w:fill="FFFFFF"/>
          </w:tcPr>
          <w:p w:rsidR="00000000" w:rsidRDefault="002B492A">
            <w:pPr>
              <w:jc w:val="right"/>
              <w:rPr>
                <w:rFonts w:ascii="Times New Roman" w:hAnsi="Times New Roman" w:cs="Times New Roman"/>
                <w:color w:val="auto"/>
              </w:rPr>
            </w:pPr>
          </w:p>
        </w:tc>
      </w:tr>
    </w:tbl>
    <w:p w:rsidR="00000000" w:rsidRDefault="002B492A">
      <w:pPr>
        <w:spacing w:after="100"/>
        <w:rPr>
          <w:rFonts w:ascii="Arial Unicode MS" w:eastAsia="Arial Unicode MS" w:hAnsi="Times New Roman" w:cs="Arial Unicode MS"/>
          <w:color w:val="CCCCCC"/>
          <w:sz w:val="28"/>
          <w:szCs w:val="28"/>
        </w:rPr>
      </w:pPr>
      <w:r>
        <w:rPr>
          <w:rFonts w:ascii="Arial Unicode MS" w:eastAsia="Arial Unicode MS" w:hAnsi="Times New Roman" w:cs="Arial Unicode MS"/>
          <w:color w:val="CCCCCC"/>
          <w:sz w:val="28"/>
          <w:szCs w:val="28"/>
        </w:rPr>
        <w:t>_______________________________________________________________</w:t>
      </w:r>
    </w:p>
    <w:p w:rsidR="00000000" w:rsidRDefault="002B492A">
      <w:pPr>
        <w:rPr>
          <w:rFonts w:ascii="Arial Unicode MS" w:eastAsia="Arial Unicode MS" w:hAnsi="Times New Roman" w:cs="Arial Unicode MS"/>
          <w:sz w:val="32"/>
          <w:szCs w:val="32"/>
        </w:rPr>
      </w:pPr>
      <w:r>
        <w:rPr>
          <w:rFonts w:ascii="Arial Unicode MS" w:eastAsia="Arial Unicode MS" w:hAnsi="Times New Roman" w:cs="Arial Unicode MS"/>
          <w:b/>
          <w:bCs/>
          <w:sz w:val="32"/>
          <w:szCs w:val="32"/>
        </w:rPr>
        <w:t>Report Information from ProQuest</w:t>
      </w:r>
    </w:p>
    <w:p w:rsidR="00000000" w:rsidRDefault="002B492A">
      <w:pPr>
        <w:rPr>
          <w:rFonts w:ascii="Arial Unicode MS" w:eastAsia="Arial Unicode MS" w:hAnsi="Times New Roman" w:cs="Arial Unicode MS"/>
          <w:sz w:val="28"/>
          <w:szCs w:val="28"/>
        </w:rPr>
      </w:pPr>
      <w:r>
        <w:rPr>
          <w:rFonts w:ascii="Arial Unicode MS" w:eastAsia="Arial Unicode MS" w:hAnsi="Times New Roman" w:cs="Arial Unicode MS"/>
          <w:sz w:val="28"/>
          <w:szCs w:val="28"/>
        </w:rPr>
        <w:t>October 09 2014 08:11</w:t>
      </w:r>
    </w:p>
    <w:p w:rsidR="00000000" w:rsidRDefault="002B492A">
      <w:pPr>
        <w:spacing w:after="100"/>
        <w:rPr>
          <w:rFonts w:ascii="Arial Unicode MS" w:eastAsia="Arial Unicode MS" w:hAnsi="Times New Roman" w:cs="Arial Unicode MS"/>
          <w:color w:val="CCCCCC"/>
          <w:sz w:val="28"/>
          <w:szCs w:val="28"/>
        </w:rPr>
      </w:pPr>
      <w:r>
        <w:rPr>
          <w:rFonts w:ascii="Arial Unicode MS" w:eastAsia="Arial Unicode MS" w:hAnsi="Times New Roman" w:cs="Arial Unicode MS"/>
          <w:color w:val="CCCCCC"/>
          <w:sz w:val="28"/>
          <w:szCs w:val="28"/>
        </w:rPr>
        <w:t>_______________________________________________________________</w:t>
      </w:r>
    </w:p>
    <w:p w:rsidR="00000000" w:rsidRDefault="002B492A">
      <w:pPr>
        <w:spacing w:before="200" w:after="200"/>
        <w:jc w:val="center"/>
        <w:rPr>
          <w:rFonts w:ascii="Arial Unicode MS" w:eastAsia="Arial Unicode MS" w:hAnsi="Times New Roman" w:cs="Arial Unicode MS"/>
          <w:sz w:val="28"/>
          <w:szCs w:val="28"/>
        </w:rPr>
      </w:pPr>
      <w:r>
        <w:rPr>
          <w:rFonts w:ascii="Arial Unicode MS" w:eastAsia="Arial Unicode MS" w:hAnsi="Times New Roman" w:cs="Arial Unicode MS"/>
          <w:color w:val="CCCCCC"/>
          <w:sz w:val="28"/>
          <w:szCs w:val="28"/>
        </w:rPr>
        <w:br w:type="page"/>
      </w:r>
      <w:r>
        <w:rPr>
          <w:rFonts w:ascii="Arial Unicode MS" w:eastAsia="Arial Unicode MS" w:hAnsi="Times New Roman" w:cs="Arial Unicode MS"/>
          <w:b/>
          <w:bCs/>
          <w:sz w:val="28"/>
          <w:szCs w:val="28"/>
        </w:rPr>
        <w:lastRenderedPageBreak/>
        <w:t>Table of contents</w:t>
      </w:r>
    </w:p>
    <w:p w:rsidR="00000000" w:rsidRDefault="002B492A">
      <w:pPr>
        <w:rPr>
          <w:rFonts w:ascii="Arial Unicode MS" w:eastAsia="Arial Unicode MS" w:hAnsi="Times New Roman" w:cs="Arial Unicode MS"/>
          <w:sz w:val="20"/>
          <w:szCs w:val="20"/>
        </w:rPr>
      </w:pPr>
      <w:r>
        <w:rPr>
          <w:rFonts w:ascii="Arial Unicode MS" w:eastAsia="Arial Unicode MS" w:hAnsi="Times New Roman" w:cs="Arial Unicode MS"/>
          <w:sz w:val="20"/>
          <w:szCs w:val="20"/>
        </w:rPr>
        <w:fldChar w:fldCharType="begin"/>
      </w:r>
      <w:r>
        <w:rPr>
          <w:rFonts w:ascii="Arial Unicode MS" w:eastAsia="Arial Unicode MS" w:hAnsi="Times New Roman" w:cs="Arial Unicode MS"/>
          <w:sz w:val="20"/>
          <w:szCs w:val="20"/>
        </w:rPr>
        <w:instrText>TOC \f \h \u \</w:instrText>
      </w:r>
      <w:r>
        <w:rPr>
          <w:rFonts w:ascii="Arial Unicode MS" w:eastAsia="Arial Unicode MS" w:hAnsi="Times New Roman" w:cs="Arial Unicode MS"/>
          <w:sz w:val="20"/>
          <w:szCs w:val="20"/>
        </w:rPr>
        <w:instrText xml:space="preserve">o "1-5" </w:instrText>
      </w:r>
      <w:r>
        <w:rPr>
          <w:rFonts w:ascii="Arial Unicode MS" w:eastAsia="Arial Unicode MS" w:hAnsi="Times New Roman" w:cs="Arial Unicode MS"/>
          <w:sz w:val="20"/>
          <w:szCs w:val="20"/>
        </w:rPr>
        <w:fldChar w:fldCharType="separate"/>
      </w:r>
      <w:r>
        <w:rPr>
          <w:rFonts w:ascii="Arial Unicode MS" w:eastAsia="Arial Unicode MS" w:hAnsi="Times New Roman" w:cs="Arial Unicode MS"/>
          <w:sz w:val="20"/>
          <w:szCs w:val="20"/>
        </w:rPr>
        <w:t xml:space="preserve">PLEASE RIGHT CLICK HERE AND SELECT "Update Field" TO UPDATE TABLE OF CONTENTS. </w:t>
      </w:r>
      <w:r>
        <w:rPr>
          <w:rFonts w:ascii="Arial Unicode MS" w:eastAsia="Arial Unicode MS" w:hAnsi="Times New Roman" w:cs="Arial Unicode MS"/>
          <w:sz w:val="20"/>
          <w:szCs w:val="20"/>
        </w:rPr>
        <w:fldChar w:fldCharType="end"/>
      </w:r>
    </w:p>
    <w:p w:rsidR="00000000" w:rsidRDefault="002B492A">
      <w:pPr>
        <w:spacing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br w:type="page"/>
      </w:r>
      <w:r>
        <w:rPr>
          <w:rFonts w:ascii="Arial Unicode MS" w:eastAsia="Arial Unicode MS" w:hAnsi="Times New Roman" w:cs="Arial Unicode MS"/>
          <w:sz w:val="20"/>
          <w:szCs w:val="20"/>
        </w:rPr>
        <w:lastRenderedPageBreak/>
        <w:fldChar w:fldCharType="begin"/>
      </w:r>
      <w:r>
        <w:rPr>
          <w:rFonts w:ascii="Arial Unicode MS" w:eastAsia="Arial Unicode MS" w:hAnsi="Times New Roman" w:cs="Arial Unicode MS"/>
          <w:sz w:val="20"/>
          <w:szCs w:val="20"/>
        </w:rPr>
        <w:instrText>tc "1. Assessment of Patients' Competence to Consent to Treatment"</w:instrText>
      </w:r>
      <w:r>
        <w:rPr>
          <w:rFonts w:ascii="Arial Unicode MS" w:eastAsia="Arial Unicode MS" w:hAnsi="Times New Roman" w:cs="Arial Unicode MS"/>
          <w:sz w:val="20"/>
          <w:szCs w:val="20"/>
        </w:rPr>
        <w:fldChar w:fldCharType="end"/>
      </w:r>
      <w:r>
        <w:rPr>
          <w:rFonts w:ascii="Arial Unicode MS" w:eastAsia="Arial Unicode MS" w:hAnsi="Times New Roman" w:cs="Arial Unicode MS"/>
          <w:sz w:val="20"/>
          <w:szCs w:val="20"/>
        </w:rPr>
        <w:t>Document 1 of 1</w:t>
      </w:r>
    </w:p>
    <w:p w:rsidR="00000000" w:rsidRDefault="002B492A">
      <w:pPr>
        <w:spacing w:line="320" w:lineRule="atLeast"/>
        <w:rPr>
          <w:rFonts w:ascii="Times New Roman" w:eastAsia="Arial Unicode MS" w:hAnsi="Times New Roman" w:cs="Times New Roman"/>
          <w:sz w:val="20"/>
          <w:szCs w:val="20"/>
        </w:rPr>
      </w:pPr>
    </w:p>
    <w:p w:rsidR="00000000" w:rsidRDefault="002B492A">
      <w:pPr>
        <w:spacing w:after="100"/>
        <w:rPr>
          <w:rFonts w:ascii="Arial Unicode MS" w:eastAsia="Arial Unicode MS" w:hAnsi="Times New Roman" w:cs="Arial Unicode MS"/>
          <w:sz w:val="22"/>
          <w:szCs w:val="22"/>
        </w:rPr>
      </w:pPr>
      <w:r>
        <w:rPr>
          <w:rFonts w:ascii="Arial Unicode MS" w:eastAsia="Arial Unicode MS" w:hAnsi="Times New Roman" w:cs="Arial Unicode MS"/>
          <w:b/>
          <w:bCs/>
          <w:sz w:val="22"/>
          <w:szCs w:val="22"/>
        </w:rPr>
        <w:t xml:space="preserve">Assessment of Patients' Competence to Consent to Treatment </w:t>
      </w:r>
    </w:p>
    <w:p w:rsidR="00000000" w:rsidRDefault="002B492A">
      <w:pPr>
        <w:spacing w:after="100" w:line="320" w:lineRule="atLeast"/>
        <w:rPr>
          <w:rFonts w:ascii="Times New Roman" w:eastAsia="Arial Unicode MS" w:hAnsi="Times New Roman" w:cs="Times New Roman"/>
          <w:sz w:val="20"/>
          <w:szCs w:val="20"/>
        </w:rPr>
      </w:pPr>
      <w:r>
        <w:rPr>
          <w:rFonts w:ascii="Arial Unicode MS" w:eastAsia="Arial Unicode MS" w:hAnsi="Times New Roman" w:cs="Arial Unicode MS"/>
          <w:b/>
          <w:bCs/>
          <w:sz w:val="20"/>
          <w:szCs w:val="20"/>
        </w:rPr>
        <w:t xml:space="preserve">Author: </w:t>
      </w:r>
      <w:r>
        <w:rPr>
          <w:rFonts w:ascii="Arial Unicode MS" w:eastAsia="Arial Unicode MS" w:hAnsi="Times New Roman" w:cs="Arial Unicode MS"/>
          <w:sz w:val="20"/>
          <w:szCs w:val="20"/>
        </w:rPr>
        <w:t>Appelbaum, Paul S, MD</w:t>
      </w:r>
      <w:r>
        <w:rPr>
          <w:rFonts w:ascii="Times New Roman" w:eastAsia="Arial Unicode MS" w:hAnsi="Times New Roman" w:cs="Times New Roman"/>
          <w:sz w:val="20"/>
          <w:szCs w:val="20"/>
        </w:rPr>
        <w:t xml:space="preserve"> </w:t>
      </w:r>
    </w:p>
    <w:p w:rsidR="00000000" w:rsidRDefault="002B492A">
      <w:pPr>
        <w:spacing w:after="100" w:line="320" w:lineRule="atLeast"/>
        <w:rPr>
          <w:rFonts w:ascii="Times New Roman" w:hAnsi="Times New Roman" w:cs="Times New Roman"/>
          <w:color w:val="auto"/>
        </w:rPr>
      </w:pPr>
      <w:hyperlink r:id="rId9" w:history="1">
        <w:r>
          <w:rPr>
            <w:rFonts w:ascii="Arial Unicode MS" w:eastAsia="Arial Unicode MS" w:hAnsi="Times New Roman" w:cs="Arial Unicode MS"/>
            <w:color w:val="005E90"/>
            <w:sz w:val="20"/>
            <w:szCs w:val="20"/>
            <w:u w:val="single"/>
          </w:rPr>
          <w:t>ProQuest document link</w:t>
        </w:r>
      </w:hyperlink>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Abstract: </w:t>
      </w:r>
      <w:r>
        <w:rPr>
          <w:rFonts w:ascii="Arial Unicode MS" w:eastAsia="Arial Unicode MS" w:hAnsi="Times New Roman" w:cs="Arial Unicode MS"/>
          <w:sz w:val="20"/>
          <w:szCs w:val="20"/>
        </w:rPr>
        <w:t>A case vignette is described in which a 75-year-old woman has type 2 diabetes mellitus, peripheral vascular disease, and a gang</w:t>
      </w:r>
      <w:r>
        <w:rPr>
          <w:rFonts w:ascii="Arial Unicode MS" w:eastAsia="Arial Unicode MS" w:hAnsi="Times New Roman" w:cs="Arial Unicode MS"/>
          <w:sz w:val="20"/>
          <w:szCs w:val="20"/>
        </w:rPr>
        <w:t>renous ulcer of her left foot. A below-the-knee amputation is recommended, but she declines, saying that she has lived long enough and wants to die with her body intact. Her internist is concerned about her increasing confusion over the past year and notes</w:t>
      </w:r>
      <w:r>
        <w:rPr>
          <w:rFonts w:ascii="Arial Unicode MS" w:eastAsia="Arial Unicode MS" w:hAnsi="Times New Roman" w:cs="Arial Unicode MS"/>
          <w:sz w:val="20"/>
          <w:szCs w:val="20"/>
        </w:rPr>
        <w:t xml:space="preserve"> that she appears to be depressed. To the extent that the patient described in the vignette can clearly communicate her decisions, understands the information about her condition, appreciates the consequences of her choices (especially the likelihood of de</w:t>
      </w:r>
      <w:r>
        <w:rPr>
          <w:rFonts w:ascii="Arial Unicode MS" w:eastAsia="Arial Unicode MS" w:hAnsi="Times New Roman" w:cs="Arial Unicode MS"/>
          <w:sz w:val="20"/>
          <w:szCs w:val="20"/>
        </w:rPr>
        <w:t>ath if she forgoes amputation), and can weigh the relative risks and benefits of the options, she should be considered competent to make a treatment decision. Given the life-and-death nature of her choice, however, a relatively high level of performance wi</w:t>
      </w:r>
      <w:r>
        <w:rPr>
          <w:rFonts w:ascii="Arial Unicode MS" w:eastAsia="Arial Unicode MS" w:hAnsi="Times New Roman" w:cs="Arial Unicode MS"/>
          <w:sz w:val="20"/>
          <w:szCs w:val="20"/>
        </w:rPr>
        <w:t>th respect to the relevant criteria should be required, and the use of a structured assessment instrument may be helpful. In light of the presence of depression and mild cognitive impairment or early dementia, psychiatric consultation should be considered,</w:t>
      </w:r>
      <w:r>
        <w:rPr>
          <w:rFonts w:ascii="Arial Unicode MS" w:eastAsia="Arial Unicode MS" w:hAnsi="Times New Roman" w:cs="Arial Unicode MS"/>
          <w:sz w:val="20"/>
          <w:szCs w:val="20"/>
        </w:rPr>
        <w:t xml:space="preserve"> although these conditions do not preclude the patient's ability to make a competent decision. </w:t>
      </w:r>
    </w:p>
    <w:p w:rsidR="00000000" w:rsidRDefault="002B492A">
      <w:pPr>
        <w:spacing w:after="100" w:line="320" w:lineRule="atLeast"/>
        <w:rPr>
          <w:rFonts w:ascii="Arial Unicode MS" w:eastAsia="Arial Unicode MS" w:hAnsi="Times New Roman" w:cs="Arial Unicode MS"/>
          <w:sz w:val="20"/>
          <w:szCs w:val="20"/>
        </w:rPr>
      </w:pPr>
    </w:p>
    <w:p w:rsidR="00000000" w:rsidRDefault="002B492A">
      <w:pPr>
        <w:spacing w:after="100" w:line="320" w:lineRule="atLeast"/>
        <w:rPr>
          <w:rFonts w:ascii="Times New Roman" w:eastAsia="Arial Unicode MS" w:hAnsi="Times New Roman" w:cs="Times New Roman"/>
          <w:sz w:val="20"/>
          <w:szCs w:val="20"/>
        </w:rPr>
      </w:pPr>
      <w:r>
        <w:rPr>
          <w:rFonts w:ascii="Arial Unicode MS" w:eastAsia="Arial Unicode MS" w:hAnsi="Times New Roman" w:cs="Arial Unicode MS"/>
          <w:b/>
          <w:bCs/>
          <w:sz w:val="20"/>
          <w:szCs w:val="20"/>
        </w:rPr>
        <w:t xml:space="preserve">Links: </w:t>
      </w:r>
      <w:hyperlink r:id="rId10" w:history="1">
        <w:r>
          <w:rPr>
            <w:rFonts w:ascii="Arial Unicode MS" w:eastAsia="Arial Unicode MS" w:hAnsi="Times New Roman" w:cs="Arial Unicode MS"/>
            <w:color w:val="005E90"/>
            <w:sz w:val="20"/>
            <w:szCs w:val="20"/>
            <w:u w:val="single"/>
          </w:rPr>
          <w:t>Linki</w:t>
        </w:r>
        <w:r>
          <w:rPr>
            <w:rFonts w:ascii="Arial Unicode MS" w:eastAsia="Arial Unicode MS" w:hAnsi="Times New Roman" w:cs="Arial Unicode MS"/>
            <w:color w:val="005E90"/>
            <w:sz w:val="20"/>
            <w:szCs w:val="20"/>
            <w:u w:val="single"/>
          </w:rPr>
          <w:t>ng Service</w:t>
        </w:r>
      </w:hyperlink>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Full text: Foreword</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This </w:t>
      </w:r>
      <w:r>
        <w:rPr>
          <w:rFonts w:ascii="Arial Unicode MS" w:eastAsia="Arial Unicode MS" w:hAnsi="Times New Roman" w:cs="Arial Unicode MS"/>
          <w:i/>
          <w:iCs/>
          <w:sz w:val="20"/>
          <w:szCs w:val="20"/>
        </w:rPr>
        <w:t>Journal</w:t>
      </w:r>
      <w:r>
        <w:rPr>
          <w:rFonts w:ascii="Arial Unicode MS" w:eastAsia="Arial Unicode MS" w:hAnsi="Times New Roman" w:cs="Arial Unicode MS"/>
          <w:sz w:val="20"/>
          <w:szCs w:val="20"/>
        </w:rPr>
        <w:t xml:space="preserve"> feature begins with a case vignette highlighting a common clinical problem. Evidence supporting various strategies is then presented, followed by a review of formal guidelines, when they exist. The article en</w:t>
      </w:r>
      <w:r>
        <w:rPr>
          <w:rFonts w:ascii="Arial Unicode MS" w:eastAsia="Arial Unicode MS" w:hAnsi="Times New Roman" w:cs="Arial Unicode MS"/>
          <w:sz w:val="20"/>
          <w:szCs w:val="20"/>
        </w:rPr>
        <w:t xml:space="preserve">ds with the author's clinical recommendations.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Stage</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A 75-year-old woman with type 2 diabetes mellitus and peripheral vascular disease is admitted with a gangrenous ulcer of the plantar aspect of her left foot. A surgical consultation results in a recomm</w:t>
      </w:r>
      <w:r>
        <w:rPr>
          <w:rFonts w:ascii="Arial Unicode MS" w:eastAsia="Arial Unicode MS" w:hAnsi="Times New Roman" w:cs="Arial Unicode MS"/>
          <w:sz w:val="20"/>
          <w:szCs w:val="20"/>
        </w:rPr>
        <w:t>endation for a below-the-knee amputation, but the patient declines the procedure on the grounds that she has lived long enough and wants to die with her body intact. Her internist, who has known her for 15 years, is concerned that she has been increasingly</w:t>
      </w:r>
      <w:r>
        <w:rPr>
          <w:rFonts w:ascii="Arial Unicode MS" w:eastAsia="Arial Unicode MS" w:hAnsi="Times New Roman" w:cs="Arial Unicode MS"/>
          <w:sz w:val="20"/>
          <w:szCs w:val="20"/>
        </w:rPr>
        <w:t xml:space="preserve"> confused over the past year and now appears to be depressed. How should her physician determine whether her decision is a competent one?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The Clinical Problem</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Physicians are required by law and medical ethics to obtain the informed consent of their patie</w:t>
      </w:r>
      <w:r>
        <w:rPr>
          <w:rFonts w:ascii="Arial Unicode MS" w:eastAsia="Arial Unicode MS" w:hAnsi="Times New Roman" w:cs="Arial Unicode MS"/>
          <w:sz w:val="20"/>
          <w:szCs w:val="20"/>
        </w:rPr>
        <w:t>nts before initiating treatment.1 Valid informed consent is premised on the disclosure of appropriate information to a competent patient who is permitted to make a voluntary choice. When patients lack the competence to make a decision about treatment, subs</w:t>
      </w:r>
      <w:r>
        <w:rPr>
          <w:rFonts w:ascii="Arial Unicode MS" w:eastAsia="Arial Unicode MS" w:hAnsi="Times New Roman" w:cs="Arial Unicode MS"/>
          <w:sz w:val="20"/>
          <w:szCs w:val="20"/>
        </w:rPr>
        <w:t>titute decision makers must be sought. Hence, the determination of whether patients are competent is critical in striking a proper balance between respecting the autonomy of patients who are capable of making informed decisions and protecting those with co</w:t>
      </w:r>
      <w:r>
        <w:rPr>
          <w:rFonts w:ascii="Arial Unicode MS" w:eastAsia="Arial Unicode MS" w:hAnsi="Times New Roman" w:cs="Arial Unicode MS"/>
          <w:sz w:val="20"/>
          <w:szCs w:val="20"/>
        </w:rPr>
        <w:t xml:space="preserve">gnitive impairment.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Although incompetence denotes a legal status that in principle should be determined by a court, resorting to </w:t>
      </w:r>
      <w:r>
        <w:rPr>
          <w:rFonts w:ascii="Arial Unicode MS" w:eastAsia="Arial Unicode MS" w:hAnsi="Times New Roman" w:cs="Arial Unicode MS"/>
          <w:sz w:val="20"/>
          <w:szCs w:val="20"/>
        </w:rPr>
        <w:lastRenderedPageBreak/>
        <w:t>judicial review in every case of suspected impairment of capacity would probably bring both the medical and legal systems to a</w:t>
      </w:r>
      <w:r>
        <w:rPr>
          <w:rFonts w:ascii="Arial Unicode MS" w:eastAsia="Arial Unicode MS" w:hAnsi="Times New Roman" w:cs="Arial Unicode MS"/>
          <w:sz w:val="20"/>
          <w:szCs w:val="20"/>
        </w:rPr>
        <w:t xml:space="preserve"> halt. (The terms "competence" and "capacity" are used interchangeably in this article, since the oft-cited distinctions between them -- competence is said to refer to legal judgments, and capacity to clinical ones -- are not consistently reflected in eith</w:t>
      </w:r>
      <w:r>
        <w:rPr>
          <w:rFonts w:ascii="Arial Unicode MS" w:eastAsia="Arial Unicode MS" w:hAnsi="Times New Roman" w:cs="Arial Unicode MS"/>
          <w:sz w:val="20"/>
          <w:szCs w:val="20"/>
        </w:rPr>
        <w:t>er legal or medical usage.) Thus, in most situations there is good reason to continue the traditional practice of having physicians determine patients' capacity and decide when to seek substituted consent.2 Indeed, statutes regarding advance directives for</w:t>
      </w:r>
      <w:r>
        <w:rPr>
          <w:rFonts w:ascii="Arial Unicode MS" w:eastAsia="Arial Unicode MS" w:hAnsi="Times New Roman" w:cs="Arial Unicode MS"/>
          <w:sz w:val="20"/>
          <w:szCs w:val="20"/>
        </w:rPr>
        <w:t xml:space="preserve"> medical treatment generally recognize a medical determination of incapacity as the trigger for activating these directives.3 In addition, since consent obtained from an incompetent patient is invalid, physicians who do not obtain a substituted decision ma</w:t>
      </w:r>
      <w:r>
        <w:rPr>
          <w:rFonts w:ascii="Arial Unicode MS" w:eastAsia="Arial Unicode MS" w:hAnsi="Times New Roman" w:cs="Arial Unicode MS"/>
          <w:sz w:val="20"/>
          <w:szCs w:val="20"/>
        </w:rPr>
        <w:t xml:space="preserve">y be subject to claims of having treated the person without informed consent.1 Physicians must therefore be aware that their patients may have impaired decision-making capacities, and they must be skilled at evaluating that possibility.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Patients whose com</w:t>
      </w:r>
      <w:r>
        <w:rPr>
          <w:rFonts w:ascii="Arial Unicode MS" w:eastAsia="Arial Unicode MS" w:hAnsi="Times New Roman" w:cs="Arial Unicode MS"/>
          <w:sz w:val="20"/>
          <w:szCs w:val="20"/>
        </w:rPr>
        <w:t xml:space="preserve">petence is impaired are commonly found in medical and surgical inpatient units, and less frequently in outpatient clinics. Between 3 and 25% of requests for psychiatric consultation in hospital settings involve questions about patients' competence to make </w:t>
      </w:r>
      <w:r>
        <w:rPr>
          <w:rFonts w:ascii="Arial Unicode MS" w:eastAsia="Arial Unicode MS" w:hAnsi="Times New Roman" w:cs="Arial Unicode MS"/>
          <w:sz w:val="20"/>
          <w:szCs w:val="20"/>
        </w:rPr>
        <w:t>treatment-related decisions.4 ,5 In many other cases, impaired decision making in hospitalized patients may go undetected,6 -9 even when patients decline recommended treatment.10 One study of 302 medical inpatients with acute conditions estimated that as m</w:t>
      </w:r>
      <w:r>
        <w:rPr>
          <w:rFonts w:ascii="Arial Unicode MS" w:eastAsia="Arial Unicode MS" w:hAnsi="Times New Roman" w:cs="Arial Unicode MS"/>
          <w:sz w:val="20"/>
          <w:szCs w:val="20"/>
        </w:rPr>
        <w:t>any as 48% were incompetent to consent to medical treatment. This group included patients with a broad array of medical conditions, but most commonly neurologic and infectious diseases. The clinical team responsible for these patients had identified only a</w:t>
      </w:r>
      <w:r>
        <w:rPr>
          <w:rFonts w:ascii="Arial Unicode MS" w:eastAsia="Arial Unicode MS" w:hAnsi="Times New Roman" w:cs="Arial Unicode MS"/>
          <w:sz w:val="20"/>
          <w:szCs w:val="20"/>
        </w:rPr>
        <w:t xml:space="preserve">pproximately one quarter of this group as being impaired.11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Any diagnosis or treatment that compromises mentation may be associated with incompetence. However, since a range of severity is associated with most diagnoses, no diagnosis in which consciousnes</w:t>
      </w:r>
      <w:r>
        <w:rPr>
          <w:rFonts w:ascii="Arial Unicode MS" w:eastAsia="Arial Unicode MS" w:hAnsi="Times New Roman" w:cs="Arial Unicode MS"/>
          <w:sz w:val="20"/>
          <w:szCs w:val="20"/>
        </w:rPr>
        <w:t>s is retained is invariably predictive of incapacity. Data on the diagnostic and other clinical predictors of incapacity are derived from studies of decisions regarding both consent to receive treatment and consent to participate in clinical research. Pati</w:t>
      </w:r>
      <w:r>
        <w:rPr>
          <w:rFonts w:ascii="Arial Unicode MS" w:eastAsia="Arial Unicode MS" w:hAnsi="Times New Roman" w:cs="Arial Unicode MS"/>
          <w:sz w:val="20"/>
          <w:szCs w:val="20"/>
        </w:rPr>
        <w:t>ents with Alzheimer's disease and other dementias have high rates of incompetence with regard to such decisions; more than half of patients with mild-to-moderate dementia may have impairment, and incompetence is universal among patients with more severe de</w:t>
      </w:r>
      <w:r>
        <w:rPr>
          <w:rFonts w:ascii="Arial Unicode MS" w:eastAsia="Arial Unicode MS" w:hAnsi="Times New Roman" w:cs="Arial Unicode MS"/>
          <w:sz w:val="20"/>
          <w:szCs w:val="20"/>
        </w:rPr>
        <w:t>mentia.12 Stroke can affect the capacity to make decisions, depending on the location and size of the affected area of the brain.13 Among psychiatric disorders, schizophrenia has a stronger association with impaired capacity than depression; roughly 50% of</w:t>
      </w:r>
      <w:r>
        <w:rPr>
          <w:rFonts w:ascii="Arial Unicode MS" w:eastAsia="Arial Unicode MS" w:hAnsi="Times New Roman" w:cs="Arial Unicode MS"/>
          <w:sz w:val="20"/>
          <w:szCs w:val="20"/>
        </w:rPr>
        <w:t xml:space="preserve"> patients hospitalized with an acute episode of schizophrenia have impairment with regard to at least one element of competence, as compared with 20 to 25% of patients admitted with depression.14 ,15 Less severe depression, treated on an outpatient basis, </w:t>
      </w:r>
      <w:r>
        <w:rPr>
          <w:rFonts w:ascii="Arial Unicode MS" w:eastAsia="Arial Unicode MS" w:hAnsi="Times New Roman" w:cs="Arial Unicode MS"/>
          <w:sz w:val="20"/>
          <w:szCs w:val="20"/>
        </w:rPr>
        <w:t xml:space="preserve">may not impair capacity at all.16 Patients with symptomatic bipolar disorder may have levels of impairment in decision making that are similar to those of patients with schizophrenia.17 Among psychiatric patients, lack of insight (the lack of awareness of </w:t>
      </w:r>
      <w:r>
        <w:rPr>
          <w:rFonts w:ascii="Arial Unicode MS" w:eastAsia="Arial Unicode MS" w:hAnsi="Times New Roman" w:cs="Arial Unicode MS"/>
          <w:sz w:val="20"/>
          <w:szCs w:val="20"/>
        </w:rPr>
        <w:t xml:space="preserve">illness and the need for treatment) has been reported to be the strongest predictor of incapacity.18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In the absence of accompanying cognitive impairment, medical conditions such as unstable angina,19 diabetes mellitus,20 and human immunodeficiency virus i</w:t>
      </w:r>
      <w:r>
        <w:rPr>
          <w:rFonts w:ascii="Arial Unicode MS" w:eastAsia="Arial Unicode MS" w:hAnsi="Times New Roman" w:cs="Arial Unicode MS"/>
          <w:sz w:val="20"/>
          <w:szCs w:val="20"/>
        </w:rPr>
        <w:t>nfection21 have not been found to be associated with an incapacity for decision making. However, a group of outpatients with cancer had quite variable performance on competence assessments,22 with impairment in decision making correlated with older age, fe</w:t>
      </w:r>
      <w:r>
        <w:rPr>
          <w:rFonts w:ascii="Arial Unicode MS" w:eastAsia="Arial Unicode MS" w:hAnsi="Times New Roman" w:cs="Arial Unicode MS"/>
          <w:sz w:val="20"/>
          <w:szCs w:val="20"/>
        </w:rPr>
        <w:t xml:space="preserve">wer years of education, and cognitive impairment; these data underscore the need to be attentive to limitations in capacity in every patient group.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Intensive care units8 and nursing homes23 ,24 include substantial proportions of incompetent patients. </w:t>
      </w:r>
      <w:r>
        <w:rPr>
          <w:rFonts w:ascii="Arial Unicode MS" w:eastAsia="Arial Unicode MS" w:hAnsi="Times New Roman" w:cs="Arial Unicode MS"/>
          <w:sz w:val="20"/>
          <w:szCs w:val="20"/>
        </w:rPr>
        <w:lastRenderedPageBreak/>
        <w:t>Meas</w:t>
      </w:r>
      <w:r>
        <w:rPr>
          <w:rFonts w:ascii="Arial Unicode MS" w:eastAsia="Arial Unicode MS" w:hAnsi="Times New Roman" w:cs="Arial Unicode MS"/>
          <w:sz w:val="20"/>
          <w:szCs w:val="20"/>
        </w:rPr>
        <w:t>ures of neuropsychological impairment are among the strongest predictors of limited capacity,25 although the specific cognitive functions that correlate most strongly with impairment in decision making vary across diagnostic groups (e.g., patterns in schiz</w:t>
      </w:r>
      <w:r>
        <w:rPr>
          <w:rFonts w:ascii="Arial Unicode MS" w:eastAsia="Arial Unicode MS" w:hAnsi="Times New Roman" w:cs="Arial Unicode MS"/>
          <w:sz w:val="20"/>
          <w:szCs w:val="20"/>
        </w:rPr>
        <w:t xml:space="preserve">ophrenia differ from those in Alzheimer's disease).21 ,26 ,27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Strategies and Evidence</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Notwithstanding the importance of the assessment of patients' competence by physicians and the incidence of impaired capacity among patients, data suggest that the perf</w:t>
      </w:r>
      <w:r>
        <w:rPr>
          <w:rFonts w:ascii="Arial Unicode MS" w:eastAsia="Arial Unicode MS" w:hAnsi="Times New Roman" w:cs="Arial Unicode MS"/>
          <w:sz w:val="20"/>
          <w:szCs w:val="20"/>
        </w:rPr>
        <w:t>ormance of capacity assessments is often suboptimal. Physicians are frequently unaware of a patient's incapacity for decision making. When incapacity is suspected, physicians may not know which standard to apply, and, as a result, their evaluations may omi</w:t>
      </w:r>
      <w:r>
        <w:rPr>
          <w:rFonts w:ascii="Arial Unicode MS" w:eastAsia="Arial Unicode MS" w:hAnsi="Times New Roman" w:cs="Arial Unicode MS"/>
          <w:sz w:val="20"/>
          <w:szCs w:val="20"/>
        </w:rPr>
        <w:t>t mention of the relevant criteria or may not apply them specifically to decisions about treatment.28 The assignment of diagnostic categories may be confused with the determination of capacity. For example, a diagnosis of dementia or a psychotic disorder m</w:t>
      </w:r>
      <w:r>
        <w:rPr>
          <w:rFonts w:ascii="Arial Unicode MS" w:eastAsia="Arial Unicode MS" w:hAnsi="Times New Roman" w:cs="Arial Unicode MS"/>
          <w:sz w:val="20"/>
          <w:szCs w:val="20"/>
        </w:rPr>
        <w:t>ay be presumed incorrectly to indicate incompetence.29 Hence, the reliability of unstructured judgments of competence by physicians has been poor. In one study, five physicians reviewing videotapes of capacity assessments and rating the competence of patie</w:t>
      </w:r>
      <w:r>
        <w:rPr>
          <w:rFonts w:ascii="Arial Unicode MS" w:eastAsia="Arial Unicode MS" w:hAnsi="Times New Roman" w:cs="Arial Unicode MS"/>
          <w:sz w:val="20"/>
          <w:szCs w:val="20"/>
        </w:rPr>
        <w:t>nts achieved a rate of agreement that was no better than chance (kappa statistic, 0.14).30 Although the detection of an incapacity for decision making in patients depends in part on an appropriate level of suspicion by physicians, improvement in the perfor</w:t>
      </w:r>
      <w:r>
        <w:rPr>
          <w:rFonts w:ascii="Arial Unicode MS" w:eastAsia="Arial Unicode MS" w:hAnsi="Times New Roman" w:cs="Arial Unicode MS"/>
          <w:sz w:val="20"/>
          <w:szCs w:val="20"/>
        </w:rPr>
        <w:t xml:space="preserve">mance of capacity evaluations themselves requires clarification of the applicable criteria and the use of a systematic approach to assessment.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Criteria for Assessment of Decision-Making Capacity</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Legal standards for decision-making capacity for consent to</w:t>
      </w:r>
      <w:r>
        <w:rPr>
          <w:rFonts w:ascii="Arial Unicode MS" w:eastAsia="Arial Unicode MS" w:hAnsi="Times New Roman" w:cs="Arial Unicode MS"/>
          <w:sz w:val="20"/>
          <w:szCs w:val="20"/>
        </w:rPr>
        <w:t xml:space="preserve"> treatment vary somewhat across jurisdictions, but generally they embody the abilities to communicate a choice, to understand the relevant information, to appreciate the medical consequences of the situation, and to reason about treatment choices.31 -33 Ta</w:t>
      </w:r>
      <w:r>
        <w:rPr>
          <w:rFonts w:ascii="Arial Unicode MS" w:eastAsia="Arial Unicode MS" w:hAnsi="Times New Roman" w:cs="Arial Unicode MS"/>
          <w:sz w:val="20"/>
          <w:szCs w:val="20"/>
        </w:rPr>
        <w:t xml:space="preserve">ble 1 describes these four criteria and how they are assessed.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Determining Whether Impairment Constitutes Incompetence</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The level of impairment that renders a patient incompetent to make treatment decisions should ideally reflect a societal judgment about</w:t>
      </w:r>
      <w:r>
        <w:rPr>
          <w:rFonts w:ascii="Arial Unicode MS" w:eastAsia="Arial Unicode MS" w:hAnsi="Times New Roman" w:cs="Arial Unicode MS"/>
          <w:sz w:val="20"/>
          <w:szCs w:val="20"/>
        </w:rPr>
        <w:t xml:space="preserve"> the appropriate balance between respecting the patient's autonomy and protecting the patient from the consequences of a bad decision.34 When physicians perform competence assessments, they should attempt to strike the same balance that would result if a c</w:t>
      </w:r>
      <w:r>
        <w:rPr>
          <w:rFonts w:ascii="Arial Unicode MS" w:eastAsia="Arial Unicode MS" w:hAnsi="Times New Roman" w:cs="Arial Unicode MS"/>
          <w:sz w:val="20"/>
          <w:szCs w:val="20"/>
        </w:rPr>
        <w:t>ourt in the jurisdiction decided the case. In that regard, the presumption intrinsic to a modern democracy is that the vast majority of persons are capable of making their own decisions. Hence, only patients with impairment that places them at the very bot</w:t>
      </w:r>
      <w:r>
        <w:rPr>
          <w:rFonts w:ascii="Arial Unicode MS" w:eastAsia="Arial Unicode MS" w:hAnsi="Times New Roman" w:cs="Arial Unicode MS"/>
          <w:sz w:val="20"/>
          <w:szCs w:val="20"/>
        </w:rPr>
        <w:t>tom of the performance curve should be considered to be incompetent. In practice, the stringency of the test applied varies directly with the seriousness of the likely consequences of patients' decisions.2 ,35 Although some commentators object to this "sli</w:t>
      </w:r>
      <w:r>
        <w:rPr>
          <w:rFonts w:ascii="Arial Unicode MS" w:eastAsia="Arial Unicode MS" w:hAnsi="Times New Roman" w:cs="Arial Unicode MS"/>
          <w:sz w:val="20"/>
          <w:szCs w:val="20"/>
        </w:rPr>
        <w:t>ding scale" approach,36 it makes sense from a policy perspective, it was endorsed by the President's Commission for the Study of Ethical Problems in Medicine and Biomedical and Behavioral Research,2 and in the judgment of many experts, it reflects how cour</w:t>
      </w:r>
      <w:r>
        <w:rPr>
          <w:rFonts w:ascii="Arial Unicode MS" w:eastAsia="Arial Unicode MS" w:hAnsi="Times New Roman" w:cs="Arial Unicode MS"/>
          <w:sz w:val="20"/>
          <w:szCs w:val="20"/>
        </w:rPr>
        <w:t xml:space="preserve">ts actually deal with these cases.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Approaches to Assessment</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Given the requirement of competence for valid informed consent, the assessment of the patient's capacity to make decisions is an intrinsic aspect of every physician-patient interaction. Usually,</w:t>
      </w:r>
      <w:r>
        <w:rPr>
          <w:rFonts w:ascii="Arial Unicode MS" w:eastAsia="Arial Unicode MS" w:hAnsi="Times New Roman" w:cs="Arial Unicode MS"/>
          <w:sz w:val="20"/>
          <w:szCs w:val="20"/>
        </w:rPr>
        <w:t xml:space="preserve"> the assessment will be implicit, since in the absence of a reason to question a patient's decision making, the presumption of competence will prevail. When an explicit competence evaluation is required, physicians should be aware of the </w:t>
      </w:r>
      <w:r>
        <w:rPr>
          <w:rFonts w:ascii="Arial Unicode MS" w:eastAsia="Arial Unicode MS" w:hAnsi="Times New Roman" w:cs="Arial Unicode MS"/>
          <w:sz w:val="20"/>
          <w:szCs w:val="20"/>
        </w:rPr>
        <w:lastRenderedPageBreak/>
        <w:t xml:space="preserve">relevant criteria </w:t>
      </w:r>
      <w:r>
        <w:rPr>
          <w:rFonts w:ascii="Arial Unicode MS" w:eastAsia="Arial Unicode MS" w:hAnsi="Times New Roman" w:cs="Arial Unicode MS"/>
          <w:sz w:val="20"/>
          <w:szCs w:val="20"/>
        </w:rPr>
        <w:t>and should be encouraged to use a structured approach to assessment. In one set of studies, simply providing physicians with specific legal standards to guide their judgments, similar to the criteria in Table 1 , significantly increased interrater agreemen</w:t>
      </w:r>
      <w:r>
        <w:rPr>
          <w:rFonts w:ascii="Arial Unicode MS" w:eastAsia="Arial Unicode MS" w:hAnsi="Times New Roman" w:cs="Arial Unicode MS"/>
          <w:sz w:val="20"/>
          <w:szCs w:val="20"/>
        </w:rPr>
        <w:t xml:space="preserve">t (the kappa statistic for agreement increased from 0.14 to 0.46).30 ,37 Another research group found that asking physicians and nurses to use a systematic set of questions for competence assessment led to a high rate of agreement with expert judgments.38 </w:t>
      </w:r>
      <w:r>
        <w:rPr>
          <w:rFonts w:ascii="Arial Unicode MS" w:eastAsia="Arial Unicode MS" w:hAnsi="Times New Roman" w:cs="Arial Unicode MS"/>
          <w:sz w:val="20"/>
          <w:szCs w:val="20"/>
        </w:rPr>
        <w:t xml:space="preserve">Published question sets with good face validity are readily available, and they should be used to guide clinical assessments.31 ,38 Table 1 includes sample questions.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Any physician who is aware of the relevant criteria should be able to assess a patient's</w:t>
      </w:r>
      <w:r>
        <w:rPr>
          <w:rFonts w:ascii="Arial Unicode MS" w:eastAsia="Arial Unicode MS" w:hAnsi="Times New Roman" w:cs="Arial Unicode MS"/>
          <w:sz w:val="20"/>
          <w:szCs w:val="20"/>
        </w:rPr>
        <w:t xml:space="preserve"> competence. Indeed, treating physicians may have the advantage of greater familiarity with the patient and with available treatment options. Psychiatric consultation may be helpful in particularly complex cases or when mental illness is present. Although </w:t>
      </w:r>
      <w:r>
        <w:rPr>
          <w:rFonts w:ascii="Arial Unicode MS" w:eastAsia="Arial Unicode MS" w:hAnsi="Times New Roman" w:cs="Arial Unicode MS"/>
          <w:sz w:val="20"/>
          <w:szCs w:val="20"/>
        </w:rPr>
        <w:t>a simple instrument to screen patients for impaired capacity would facilitate the identification of patients who may require more detailed assessment, to date the quest for a brief neuropsychological screening instrument has not yielded consistent findings</w:t>
      </w:r>
      <w:r>
        <w:rPr>
          <w:rFonts w:ascii="Arial Unicode MS" w:eastAsia="Arial Unicode MS" w:hAnsi="Times New Roman" w:cs="Arial Unicode MS"/>
          <w:sz w:val="20"/>
          <w:szCs w:val="20"/>
        </w:rPr>
        <w:t>. However, the Mini-Mental State Examination (MMSE) has been found to correlate with clinical judgments of incapacity,11 and it may have some use in identifying patients at the high and low ends of the range of capacity, especially among elderly persons wi</w:t>
      </w:r>
      <w:r>
        <w:rPr>
          <w:rFonts w:ascii="Arial Unicode MS" w:eastAsia="Arial Unicode MS" w:hAnsi="Times New Roman" w:cs="Arial Unicode MS"/>
          <w:sz w:val="20"/>
          <w:szCs w:val="20"/>
        </w:rPr>
        <w:t>th some degree of cognitive impairment.39 ,40 MMSE scores range from 0 to 30, with lower scores indicating decreasing cognitive function. No single cutoff score yields both high sensitivity and high specificity. MMSE scores of less than 19 are highly likel</w:t>
      </w:r>
      <w:r>
        <w:rPr>
          <w:rFonts w:ascii="Arial Unicode MS" w:eastAsia="Arial Unicode MS" w:hAnsi="Times New Roman" w:cs="Arial Unicode MS"/>
          <w:sz w:val="20"/>
          <w:szCs w:val="20"/>
        </w:rPr>
        <w:t xml:space="preserve">y to be associated with incompetence39 ,40 ; studies vary in suggesting that scores of 23 to 26 or higher are strongly indicative of competence.11 ,38 -40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In an effort to further standardize and hence increase the reliability and validity of competence ev</w:t>
      </w:r>
      <w:r>
        <w:rPr>
          <w:rFonts w:ascii="Arial Unicode MS" w:eastAsia="Arial Unicode MS" w:hAnsi="Times New Roman" w:cs="Arial Unicode MS"/>
          <w:sz w:val="20"/>
          <w:szCs w:val="20"/>
        </w:rPr>
        <w:t>aluations, several more formal assessment instruments have been developed. Their characteristics and psychometric properties have been described elsewhere.41 ,42 The most widely used of these instruments is the MacArthur Competence Assessment Tool for Trea</w:t>
      </w:r>
      <w:r>
        <w:rPr>
          <w:rFonts w:ascii="Arial Unicode MS" w:eastAsia="Arial Unicode MS" w:hAnsi="Times New Roman" w:cs="Arial Unicode MS"/>
          <w:sz w:val="20"/>
          <w:szCs w:val="20"/>
        </w:rPr>
        <w:t>tment, a structured interview that, unlike many other assessment instruments, incorporates information specific to a given patient's decision-making situation.43 Quantitative scores are generated for all four criteria related to decision-making capacity, b</w:t>
      </w:r>
      <w:r>
        <w:rPr>
          <w:rFonts w:ascii="Arial Unicode MS" w:eastAsia="Arial Unicode MS" w:hAnsi="Times New Roman" w:cs="Arial Unicode MS"/>
          <w:sz w:val="20"/>
          <w:szCs w:val="20"/>
        </w:rPr>
        <w:t>ut evaluators must integrate the results with other data in order to reach a judgment about competence. The high interrater agreement on these scores that has been reported by a number of research groups11 ,41 ,44 is usually greater than that reported in s</w:t>
      </w:r>
      <w:r>
        <w:rPr>
          <w:rFonts w:ascii="Arial Unicode MS" w:eastAsia="Arial Unicode MS" w:hAnsi="Times New Roman" w:cs="Arial Unicode MS"/>
          <w:sz w:val="20"/>
          <w:szCs w:val="20"/>
        </w:rPr>
        <w:t xml:space="preserve">tudies of systematic clinical assessment.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The MacArthur test takes approximately 20 minutes to administer and score, assuming that the person who administers and scores the test has experience with the format and scoring criteria. Given the extra time ass</w:t>
      </w:r>
      <w:r>
        <w:rPr>
          <w:rFonts w:ascii="Arial Unicode MS" w:eastAsia="Arial Unicode MS" w:hAnsi="Times New Roman" w:cs="Arial Unicode MS"/>
          <w:sz w:val="20"/>
          <w:szCs w:val="20"/>
        </w:rPr>
        <w:t>ociated with the use of assessment instruments, they would appear to have particular value when assessment is especially difficult or when a case is likely to be resolved in court, where the availability of systematic data collected in a standard format ma</w:t>
      </w:r>
      <w:r>
        <w:rPr>
          <w:rFonts w:ascii="Arial Unicode MS" w:eastAsia="Arial Unicode MS" w:hAnsi="Times New Roman" w:cs="Arial Unicode MS"/>
          <w:sz w:val="20"/>
          <w:szCs w:val="20"/>
        </w:rPr>
        <w:t xml:space="preserve">y be useful to a nonmedical fact finder. However, even if scores are not generated, the use of a structured instrument can help guide the clinical assessment process.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Whatever approach to assessment is used, examiners should first ensure that patients hav</w:t>
      </w:r>
      <w:r>
        <w:rPr>
          <w:rFonts w:ascii="Arial Unicode MS" w:eastAsia="Arial Unicode MS" w:hAnsi="Times New Roman" w:cs="Arial Unicode MS"/>
          <w:sz w:val="20"/>
          <w:szCs w:val="20"/>
        </w:rPr>
        <w:t>e been given the information that is relevant to making an informed decision about their treatment. Typically, such disclosure includes the nature of the patient's condition, the nature and purpose of the proposed treatment, and the risks and benefits of t</w:t>
      </w:r>
      <w:r>
        <w:rPr>
          <w:rFonts w:ascii="Arial Unicode MS" w:eastAsia="Arial Unicode MS" w:hAnsi="Times New Roman" w:cs="Arial Unicode MS"/>
          <w:sz w:val="20"/>
          <w:szCs w:val="20"/>
        </w:rPr>
        <w:t>he proposed treatment and of alternative treatments, including the option of no treatment at all.1 Since such disclosure cannot be presumed, either the evaluator should ask a physician responsible for the patient's care to disclose the relevant information</w:t>
      </w:r>
      <w:r>
        <w:rPr>
          <w:rFonts w:ascii="Arial Unicode MS" w:eastAsia="Arial Unicode MS" w:hAnsi="Times New Roman" w:cs="Arial Unicode MS"/>
          <w:sz w:val="20"/>
          <w:szCs w:val="20"/>
        </w:rPr>
        <w:t xml:space="preserve"> again in the evaluator's presence or the evaluator should undertake such disclosure. Given the possibility of fluctuations in the patient's mental state and hence his or her </w:t>
      </w:r>
      <w:r>
        <w:rPr>
          <w:rFonts w:ascii="Arial Unicode MS" w:eastAsia="Arial Unicode MS" w:hAnsi="Times New Roman" w:cs="Arial Unicode MS"/>
          <w:sz w:val="20"/>
          <w:szCs w:val="20"/>
        </w:rPr>
        <w:lastRenderedPageBreak/>
        <w:t xml:space="preserve">level of capacity, and the seriousness of depriving a patient of decision-making </w:t>
      </w:r>
      <w:r>
        <w:rPr>
          <w:rFonts w:ascii="Arial Unicode MS" w:eastAsia="Arial Unicode MS" w:hAnsi="Times New Roman" w:cs="Arial Unicode MS"/>
          <w:sz w:val="20"/>
          <w:szCs w:val="20"/>
        </w:rPr>
        <w:t>rights, when possible a decision that a patient is not competent should be deferred until at least two evaluations have been performed at different times. Collateral informants such as family members and nursing staff may be helpful in assessing competence</w:t>
      </w:r>
      <w:r>
        <w:rPr>
          <w:rFonts w:ascii="Arial Unicode MS" w:eastAsia="Arial Unicode MS" w:hAnsi="Times New Roman" w:cs="Arial Unicode MS"/>
          <w:sz w:val="20"/>
          <w:szCs w:val="20"/>
        </w:rPr>
        <w:t xml:space="preserve">. Patients should generally be informed of the purpose of the evaluation, but they need not give explicit consent for the assessment to occur.45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Consequences of a Finding of Incompetence</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If the evaluator believes that a patient is incompetent to make a t</w:t>
      </w:r>
      <w:r>
        <w:rPr>
          <w:rFonts w:ascii="Arial Unicode MS" w:eastAsia="Arial Unicode MS" w:hAnsi="Times New Roman" w:cs="Arial Unicode MS"/>
          <w:sz w:val="20"/>
          <w:szCs w:val="20"/>
        </w:rPr>
        <w:t>reatment decision, unless the urgency of the patient's medical condition requires that a substituted decision be sought immediately, efforts should be made to identify the causes of the impairment and to remedy them. To the extent that cognition may be imp</w:t>
      </w:r>
      <w:r>
        <w:rPr>
          <w:rFonts w:ascii="Arial Unicode MS" w:eastAsia="Arial Unicode MS" w:hAnsi="Times New Roman" w:cs="Arial Unicode MS"/>
          <w:sz w:val="20"/>
          <w:szCs w:val="20"/>
        </w:rPr>
        <w:t>aired by fever, hypoxia, uremia, sedation, and other identifiable factors, amelioration may render patients able to make their own treatment decisions. Patients with psychiatric and other disorders that directly affect cognition may benefit not only from a</w:t>
      </w:r>
      <w:r>
        <w:rPr>
          <w:rFonts w:ascii="Arial Unicode MS" w:eastAsia="Arial Unicode MS" w:hAnsi="Times New Roman" w:cs="Arial Unicode MS"/>
          <w:sz w:val="20"/>
          <w:szCs w:val="20"/>
        </w:rPr>
        <w:t xml:space="preserve"> period of treatment but also from more intensive efforts at education, at least with regard to their understanding of relevant information.27 ,46 When fear or anxiety appears to be interfering with a patient's ability to attend to and process information,</w:t>
      </w:r>
      <w:r>
        <w:rPr>
          <w:rFonts w:ascii="Arial Unicode MS" w:eastAsia="Arial Unicode MS" w:hAnsi="Times New Roman" w:cs="Arial Unicode MS"/>
          <w:sz w:val="20"/>
          <w:szCs w:val="20"/>
        </w:rPr>
        <w:t xml:space="preserve"> introducing a known and trusted confidant or adviser to the consent process may permit the patient to make competent judgments.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If, despite such efforts, it is clear that a patient lacks the capacity to make treatment decisions, a substitute decision mak</w:t>
      </w:r>
      <w:r>
        <w:rPr>
          <w:rFonts w:ascii="Arial Unicode MS" w:eastAsia="Arial Unicode MS" w:hAnsi="Times New Roman" w:cs="Arial Unicode MS"/>
          <w:sz w:val="20"/>
          <w:szCs w:val="20"/>
        </w:rPr>
        <w:t>er must be sought. In emergencies, physicians can provide appropriate care under the presumption that a reasonable person would have consented to such treatment.1 For patients with advance directives, either the treatment choice that the patient made in ad</w:t>
      </w:r>
      <w:r>
        <w:rPr>
          <w:rFonts w:ascii="Arial Unicode MS" w:eastAsia="Arial Unicode MS" w:hAnsi="Times New Roman" w:cs="Arial Unicode MS"/>
          <w:sz w:val="20"/>
          <w:szCs w:val="20"/>
        </w:rPr>
        <w:t>vance or the choice of a surrogate decision maker may be indicated.3 In the absence of an advance directive and when time is available, the recourse is usually to contact family members. Many states have statutes indicating the priority order in which fami</w:t>
      </w:r>
      <w:r>
        <w:rPr>
          <w:rFonts w:ascii="Arial Unicode MS" w:eastAsia="Arial Unicode MS" w:hAnsi="Times New Roman" w:cs="Arial Unicode MS"/>
          <w:sz w:val="20"/>
          <w:szCs w:val="20"/>
        </w:rPr>
        <w:t>ly members may be approached; in general, the order is the spouse, adult children, parents, siblings, and other relatives.47 Disagreement among family members at the same level of priority can often be resolved by assembling the involved parties for clarif</w:t>
      </w:r>
      <w:r>
        <w:rPr>
          <w:rFonts w:ascii="Arial Unicode MS" w:eastAsia="Arial Unicode MS" w:hAnsi="Times New Roman" w:cs="Arial Unicode MS"/>
          <w:sz w:val="20"/>
          <w:szCs w:val="20"/>
        </w:rPr>
        <w:t xml:space="preserve">ication and discussion; intractable disagreement may require resolution by a court.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Areas of Uncertainty</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Notwithstanding general recognition of the criteria for decision-making capacity, there is a divergence of opinion about which criteria should be included and how they should be applied.48 -50 Although the development of assessment instruments has increase</w:t>
      </w:r>
      <w:r>
        <w:rPr>
          <w:rFonts w:ascii="Arial Unicode MS" w:eastAsia="Arial Unicode MS" w:hAnsi="Times New Roman" w:cs="Arial Unicode MS"/>
          <w:sz w:val="20"/>
          <w:szCs w:val="20"/>
        </w:rPr>
        <w:t>d the reliability of the evaluation process, the various instruments differ in their identification of patients who are impaired, raising questions as to which approach is most valid.51 There is no clear standard against which clinical determinations can b</w:t>
      </w:r>
      <w:r>
        <w:rPr>
          <w:rFonts w:ascii="Arial Unicode MS" w:eastAsia="Arial Unicode MS" w:hAnsi="Times New Roman" w:cs="Arial Unicode MS"/>
          <w:sz w:val="20"/>
          <w:szCs w:val="20"/>
        </w:rPr>
        <w:t xml:space="preserve">e measured, although sophisticated models of expert judgment are being developed.52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Guidelines</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There are currently no formal practice guidelines from professional societies for the assessment of a patient's capacity to consent to treatment.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Conclusions </w:t>
      </w:r>
      <w:r>
        <w:rPr>
          <w:rFonts w:ascii="Arial Unicode MS" w:eastAsia="Arial Unicode MS" w:hAnsi="Times New Roman" w:cs="Arial Unicode MS"/>
          <w:b/>
          <w:bCs/>
          <w:sz w:val="20"/>
          <w:szCs w:val="20"/>
        </w:rPr>
        <w:t>and Recommendations</w:t>
      </w:r>
      <w:r>
        <w:rPr>
          <w:rFonts w:ascii="Arial Unicode MS" w:eastAsia="Arial Unicode MS" w:hAnsi="Times New Roman" w:cs="Arial Unicode MS"/>
          <w:sz w:val="20"/>
          <w:szCs w:val="20"/>
        </w:rPr>
        <w:t xml:space="preserve">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To the extent that the patient described in the vignette can clearly communicate her decisions, understands the information about her condition, appreciates the consequences of her choices (especially the likelihood of death if she for</w:t>
      </w:r>
      <w:r>
        <w:rPr>
          <w:rFonts w:ascii="Arial Unicode MS" w:eastAsia="Arial Unicode MS" w:hAnsi="Times New Roman" w:cs="Arial Unicode MS"/>
          <w:sz w:val="20"/>
          <w:szCs w:val="20"/>
        </w:rPr>
        <w:t xml:space="preserve">goes amputation), and can weigh the relative risks and benefits of the options, she should be </w:t>
      </w:r>
      <w:r>
        <w:rPr>
          <w:rFonts w:ascii="Arial Unicode MS" w:eastAsia="Arial Unicode MS" w:hAnsi="Times New Roman" w:cs="Arial Unicode MS"/>
          <w:sz w:val="20"/>
          <w:szCs w:val="20"/>
        </w:rPr>
        <w:lastRenderedPageBreak/>
        <w:t xml:space="preserve">considered competent to make a treatment decision. Given the life-and-death nature of her choice, however, a relatively high level of performance with respect to </w:t>
      </w:r>
      <w:r>
        <w:rPr>
          <w:rFonts w:ascii="Arial Unicode MS" w:eastAsia="Arial Unicode MS" w:hAnsi="Times New Roman" w:cs="Arial Unicode MS"/>
          <w:sz w:val="20"/>
          <w:szCs w:val="20"/>
        </w:rPr>
        <w:t>the relevant criteria should be required, and the use of a structured assessment instrument may be helpful. In light of the presence of depression and mild cognitive impairment or early dementia, psychiatric consultation should be considered, although thes</w:t>
      </w:r>
      <w:r>
        <w:rPr>
          <w:rFonts w:ascii="Arial Unicode MS" w:eastAsia="Arial Unicode MS" w:hAnsi="Times New Roman" w:cs="Arial Unicode MS"/>
          <w:sz w:val="20"/>
          <w:szCs w:val="20"/>
        </w:rPr>
        <w:t xml:space="preserve">e conditions do not preclude the patient's ability to make a competent decision.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Dr. Appelbaum reports receiving fees from Professional Resource Press on sales of the MacArthur Competence Assessment Tool for Treatment manual, forms, and training tape. No </w:t>
      </w:r>
      <w:r>
        <w:rPr>
          <w:rFonts w:ascii="Arial Unicode MS" w:eastAsia="Arial Unicode MS" w:hAnsi="Times New Roman" w:cs="Arial Unicode MS"/>
          <w:sz w:val="20"/>
          <w:szCs w:val="20"/>
        </w:rPr>
        <w:t xml:space="preserve">other potential conflict of interest relevant to this article was reported. </w:t>
      </w:r>
    </w:p>
    <w:p w:rsidR="00000000" w:rsidRDefault="002B492A">
      <w:pPr>
        <w:spacing w:after="100" w:line="320" w:lineRule="atLeast"/>
        <w:rPr>
          <w:rFonts w:ascii="Arial Unicode MS" w:eastAsia="Arial Unicode MS" w:hAnsi="Times New Roman" w:cs="Arial Unicode MS"/>
          <w:b/>
          <w:bCs/>
          <w:sz w:val="20"/>
          <w:szCs w:val="20"/>
        </w:rPr>
      </w:pPr>
      <w:r>
        <w:rPr>
          <w:rFonts w:ascii="Arial Unicode MS" w:eastAsia="Arial Unicode MS" w:hAnsi="Times New Roman" w:cs="Arial Unicode MS"/>
          <w:b/>
          <w:bCs/>
          <w:sz w:val="20"/>
          <w:szCs w:val="20"/>
        </w:rPr>
        <w:t>References</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 Berg JW, Appelbaum PS, Lidz CW, Parker L. Informed consent:legal theory and clinical practice. 2nd ed. New York:Oxford University Press, 2001.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2. President's Commis</w:t>
      </w:r>
      <w:r>
        <w:rPr>
          <w:rFonts w:ascii="Arial Unicode MS" w:eastAsia="Arial Unicode MS" w:hAnsi="Times New Roman" w:cs="Arial Unicode MS"/>
          <w:sz w:val="20"/>
          <w:szCs w:val="20"/>
        </w:rPr>
        <w:t>sion for the Study of Ethical Problems in Medicine and Biomedical and Behavioral Research. Making health care decisions:a report on the ethical and legal implications of informed consent in the patient-practitioner relationship. Vol. 1. Washington, DC:Gove</w:t>
      </w:r>
      <w:r>
        <w:rPr>
          <w:rFonts w:ascii="Arial Unicode MS" w:eastAsia="Arial Unicode MS" w:hAnsi="Times New Roman" w:cs="Arial Unicode MS"/>
          <w:sz w:val="20"/>
          <w:szCs w:val="20"/>
        </w:rPr>
        <w:t xml:space="preserve">rnment Printing Office, 1982.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 Krohm C, Summers S. Advance health care directives:a handbook for professionals. Chicago:American Bar Association, 2002.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4. Farnsworth MG Competency evaluations in a general hospital. Psychosomatics 1990;31:60-66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5. Jour</w:t>
      </w:r>
      <w:r>
        <w:rPr>
          <w:rFonts w:ascii="Arial Unicode MS" w:eastAsia="Arial Unicode MS" w:hAnsi="Times New Roman" w:cs="Arial Unicode MS"/>
          <w:sz w:val="20"/>
          <w:szCs w:val="20"/>
        </w:rPr>
        <w:t xml:space="preserve">dan JB, Glickman L Reasons for requests for evaluation of competency in a municipal general hospital. Psychosomatics 1991;32:413-416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6. Fitten LJ, Waite MS Impact of medical hospitalization on treatment decision-making capacity in the elderly. Arch Intern</w:t>
      </w:r>
      <w:r>
        <w:rPr>
          <w:rFonts w:ascii="Arial Unicode MS" w:eastAsia="Arial Unicode MS" w:hAnsi="Times New Roman" w:cs="Arial Unicode MS"/>
          <w:sz w:val="20"/>
          <w:szCs w:val="20"/>
        </w:rPr>
        <w:t xml:space="preserve"> Med 1990;150:1717-1721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7. Fitten LJ, Lusky R, Hamann C Assessing treatment decision-making capacity in elderly nursing home residents. J Am Geriatr Soc 1990;38:1097-1104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8. Cohen LM, McCue JD, Green GM Do clinical and formal assessments of the capacity </w:t>
      </w:r>
      <w:r>
        <w:rPr>
          <w:rFonts w:ascii="Arial Unicode MS" w:eastAsia="Arial Unicode MS" w:hAnsi="Times New Roman" w:cs="Arial Unicode MS"/>
          <w:sz w:val="20"/>
          <w:szCs w:val="20"/>
        </w:rPr>
        <w:t xml:space="preserve">of patients in the intensive care unit to make decisions agree? Arch Intern Med 1993;153:2481-2485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9. Etchells E, Katz MR, Shuchman M, Accuracy of clinical impressions and Mini-Mental State Exam scores for assessing capacity to consent to major medical tr</w:t>
      </w:r>
      <w:r>
        <w:rPr>
          <w:rFonts w:ascii="Arial Unicode MS" w:eastAsia="Arial Unicode MS" w:hAnsi="Times New Roman" w:cs="Arial Unicode MS"/>
          <w:sz w:val="20"/>
          <w:szCs w:val="20"/>
        </w:rPr>
        <w:t xml:space="preserve">eatment. Psychosomatics 1997;38:239-245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10. Appelbaum PS, Roth LH Patients who refuse treatment in medical hospitals. JAMA 1983;250:1296-1301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11. Raymont V, Bingley W, Buchanan A, Prevalence of mental incapacity in medical inpatients and associated risk </w:t>
      </w:r>
      <w:r>
        <w:rPr>
          <w:rFonts w:ascii="Arial Unicode MS" w:eastAsia="Arial Unicode MS" w:hAnsi="Times New Roman" w:cs="Arial Unicode MS"/>
          <w:sz w:val="20"/>
          <w:szCs w:val="20"/>
        </w:rPr>
        <w:t xml:space="preserve">factors:cross-sectional study. Lancet 2004;364:1421-1427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12. Kim SYH, Karlawish JHT, Caine ED Current state of research on decision-making competence of cognitively impaired elderly persons. Am J Geriatr Psychiatry 2002;10:151-165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13. White-Bateman SR, S</w:t>
      </w:r>
      <w:r>
        <w:rPr>
          <w:rFonts w:ascii="Arial Unicode MS" w:eastAsia="Arial Unicode MS" w:hAnsi="Times New Roman" w:cs="Arial Unicode MS"/>
          <w:sz w:val="20"/>
          <w:szCs w:val="20"/>
        </w:rPr>
        <w:t xml:space="preserve">chumacher HC, Sacco RL, Appelbaum PS Consent for thrombolysis in acute stroke:review and future directions. Arch Neurol 2007;64:785-792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14. Grisso T, Appelbaum PS The MacArthur Treatment Competence Study. III. Abilities of patients to consent to psychiatr</w:t>
      </w:r>
      <w:r>
        <w:rPr>
          <w:rFonts w:ascii="Arial Unicode MS" w:eastAsia="Arial Unicode MS" w:hAnsi="Times New Roman" w:cs="Arial Unicode MS"/>
          <w:sz w:val="20"/>
          <w:szCs w:val="20"/>
        </w:rPr>
        <w:t xml:space="preserve">ic and medical treatments. Law Hum Behav 1995;19:149-174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15. Vollmann J, Bauer A, Danker-Hoipfe H, Helmchen H Competence of mentally ill patients:a comparative </w:t>
      </w:r>
      <w:r>
        <w:rPr>
          <w:rFonts w:ascii="Arial Unicode MS" w:eastAsia="Arial Unicode MS" w:hAnsi="Times New Roman" w:cs="Arial Unicode MS"/>
          <w:sz w:val="20"/>
          <w:szCs w:val="20"/>
        </w:rPr>
        <w:lastRenderedPageBreak/>
        <w:t xml:space="preserve">empirical study. Psychol Med 2003;33:1463-1471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16. Appelbaum PS, Grisso T, Frank E, O'Donnell </w:t>
      </w:r>
      <w:r>
        <w:rPr>
          <w:rFonts w:ascii="Arial Unicode MS" w:eastAsia="Arial Unicode MS" w:hAnsi="Times New Roman" w:cs="Arial Unicode MS"/>
          <w:sz w:val="20"/>
          <w:szCs w:val="20"/>
        </w:rPr>
        <w:t xml:space="preserve">S, Kupfer DJ Competence of depressed patients for consent to research. Am J Psychiatry 1999;156:1380-1384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17. Palmer BW, Dunn LB, Depp CA, Eyler LT, Jeste DV Decisional capacity to consent to research among patients with bipolar disorder:comparison with s</w:t>
      </w:r>
      <w:r>
        <w:rPr>
          <w:rFonts w:ascii="Arial Unicode MS" w:eastAsia="Arial Unicode MS" w:hAnsi="Times New Roman" w:cs="Arial Unicode MS"/>
          <w:sz w:val="20"/>
          <w:szCs w:val="20"/>
        </w:rPr>
        <w:t xml:space="preserve">chizophrenia patients and healthy subjects. J Clin Psychiatry 2007;68:689-696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18. Cairns R, Maddock C, Buchanan A, Prevalence and predictors of mental incapacity in psychiatric in-patients. Br J Psychiatry 2005;187:379-385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19. Appelbaum PS, Grisso T Capa</w:t>
      </w:r>
      <w:r>
        <w:rPr>
          <w:rFonts w:ascii="Arial Unicode MS" w:eastAsia="Arial Unicode MS" w:hAnsi="Times New Roman" w:cs="Arial Unicode MS"/>
          <w:sz w:val="20"/>
          <w:szCs w:val="20"/>
        </w:rPr>
        <w:t xml:space="preserve">cities of hospitalized, medically ill patients to consent to treatment. Psychosomatics 1997;38:119-125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20. Palmer BW, Dunn LB, Appelbaum PS, Assessment of capacity to consent to research among older persons with schizophrenia, Alzheimer disease, or diabet</w:t>
      </w:r>
      <w:r>
        <w:rPr>
          <w:rFonts w:ascii="Arial Unicode MS" w:eastAsia="Arial Unicode MS" w:hAnsi="Times New Roman" w:cs="Arial Unicode MS"/>
          <w:sz w:val="20"/>
          <w:szCs w:val="20"/>
        </w:rPr>
        <w:t xml:space="preserve">es mellitus:comparison of a 3-item questionnaire with a comprehensive standardized capacity instrument. Arch Gen Psychiatry 2005;62:726-733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21. Moser DJ, Schultz SK, Arndt S, Capacity to provide informed consent for participation in schizophrenia and HIV </w:t>
      </w:r>
      <w:r>
        <w:rPr>
          <w:rFonts w:ascii="Arial Unicode MS" w:eastAsia="Arial Unicode MS" w:hAnsi="Times New Roman" w:cs="Arial Unicode MS"/>
          <w:sz w:val="20"/>
          <w:szCs w:val="20"/>
        </w:rPr>
        <w:t xml:space="preserve">research. Am J Psychiatry 2002;159:1201-1207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22. Casarett DJ, Karlawish JH, Hirschman KB Identifying ambulatory cancer patients at risk of impaired capacity to consent to research. J Pain Symptom Manage 2003;26:615-624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23. Goodwin PE, Smyer MA, Lair TI Decision-making incapacity among nursing home residents:results from the 1987 NMES survey. Behav Sci Law 1995;13:405-414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24. Pruchno RA, Smyer MA, Rose MS, Hartman-Stein PE, Henderson-Laribee DL Competence of long-term ca</w:t>
      </w:r>
      <w:r>
        <w:rPr>
          <w:rFonts w:ascii="Arial Unicode MS" w:eastAsia="Arial Unicode MS" w:hAnsi="Times New Roman" w:cs="Arial Unicode MS"/>
          <w:sz w:val="20"/>
          <w:szCs w:val="20"/>
        </w:rPr>
        <w:t xml:space="preserve">re residents to participate in decisions about their medical care:a brief, objective assessment. Gerontologist 1995;35:622-629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25. Gurrera RJ, Moye J, Karel MJ, Azar AR, Armesto JC Cognitive performance predicts treatment decisional abilities in mild to m</w:t>
      </w:r>
      <w:r>
        <w:rPr>
          <w:rFonts w:ascii="Arial Unicode MS" w:eastAsia="Arial Unicode MS" w:hAnsi="Times New Roman" w:cs="Arial Unicode MS"/>
          <w:sz w:val="20"/>
          <w:szCs w:val="20"/>
        </w:rPr>
        <w:t xml:space="preserve">oderate dementia. Neurology 2006;66:1367-1372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26. Earnst KS, Marson DC, Harrell LE Cognitive models of physicians' legal standard and personal judgments of competency in patients with Alzheimer's disease. J Am Geriatr Soc 2000;48:919-927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27. Carpenter WT</w:t>
      </w:r>
      <w:r>
        <w:rPr>
          <w:rFonts w:ascii="Arial Unicode MS" w:eastAsia="Arial Unicode MS" w:hAnsi="Times New Roman" w:cs="Arial Unicode MS"/>
          <w:sz w:val="20"/>
          <w:szCs w:val="20"/>
        </w:rPr>
        <w:t xml:space="preserve"> Jr, Gold JM, Lahti AC, Decisional capacity for informed consent in schizophrenia research. Arch Gen Psychiatry 2000;57:533-538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28. McKinnon K, Cournos F, Stanley B Rivers in practice:clinicians' assessments of patients' decision-making capacity. Hosp Com</w:t>
      </w:r>
      <w:r>
        <w:rPr>
          <w:rFonts w:ascii="Arial Unicode MS" w:eastAsia="Arial Unicode MS" w:hAnsi="Times New Roman" w:cs="Arial Unicode MS"/>
          <w:sz w:val="20"/>
          <w:szCs w:val="20"/>
        </w:rPr>
        <w:t xml:space="preserve">munity Psychiatry 1989;40:1159-1162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29. Markson LJ, Kern DC, Annas GJ, Glantz LH Physician assessment of patient competence. J Am Geriatr Soc 1994;42:1074-1080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30. Marson DC, McInturff B, Hawkins L, Bartolucci A, Harrell LE Consistency of physician judgm</w:t>
      </w:r>
      <w:r>
        <w:rPr>
          <w:rFonts w:ascii="Arial Unicode MS" w:eastAsia="Arial Unicode MS" w:hAnsi="Times New Roman" w:cs="Arial Unicode MS"/>
          <w:sz w:val="20"/>
          <w:szCs w:val="20"/>
        </w:rPr>
        <w:t xml:space="preserve">ents of capacity to consent in mild Alzheimer's disease. J Am Geriatr Soc 1997;45:453-457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31. Grisso T, Appelbaum PS. Assessing competence to consent to treatment:a guide for physicians and other health professionals. New York:Oxford University Press, 199</w:t>
      </w:r>
      <w:r>
        <w:rPr>
          <w:rFonts w:ascii="Arial Unicode MS" w:eastAsia="Arial Unicode MS" w:hAnsi="Times New Roman" w:cs="Arial Unicode MS"/>
          <w:sz w:val="20"/>
          <w:szCs w:val="20"/>
        </w:rPr>
        <w:t xml:space="preserve">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32. Berg JW, Appelbaum PS, Grisso T Constructing competence:formulating standards of legal competence to </w:t>
      </w:r>
      <w:r>
        <w:rPr>
          <w:rFonts w:ascii="Arial Unicode MS" w:eastAsia="Arial Unicode MS" w:hAnsi="Times New Roman" w:cs="Arial Unicode MS"/>
          <w:sz w:val="20"/>
          <w:szCs w:val="20"/>
        </w:rPr>
        <w:lastRenderedPageBreak/>
        <w:t xml:space="preserve">make medical decisions. Rutgers Law Rev 1996;48:345-396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33. Lane v. Candura, 376 N.E.2d 1232 (Mass.1978).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34. Kim SYH When does decisional impair</w:t>
      </w:r>
      <w:r>
        <w:rPr>
          <w:rFonts w:ascii="Arial Unicode MS" w:eastAsia="Arial Unicode MS" w:hAnsi="Times New Roman" w:cs="Arial Unicode MS"/>
          <w:sz w:val="20"/>
          <w:szCs w:val="20"/>
        </w:rPr>
        <w:t xml:space="preserve">ment become decisional incompetence? Ethical and methodological issues in capacity research in schizophrenia. Schizophr Bull 2006;32:92-97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35. Drane JF The many faces of competency. Hastings Cent Rep 1985;15:17-21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36. Culver CM, Gert B The inadequacy of </w:t>
      </w:r>
      <w:r>
        <w:rPr>
          <w:rFonts w:ascii="Arial Unicode MS" w:eastAsia="Arial Unicode MS" w:hAnsi="Times New Roman" w:cs="Arial Unicode MS"/>
          <w:sz w:val="20"/>
          <w:szCs w:val="20"/>
        </w:rPr>
        <w:t xml:space="preserve">incompetence. Milbank Q 1990;68:619-643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37. Marson DC, Earnst KS, Jamil F, Barolucci A, Harrell L Consistency of physicians' legal standard and personal judgments of competency in patients with Alzheimer's disease. J Am Geriatr Soc 2000;48:911-918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38. Et</w:t>
      </w:r>
      <w:r>
        <w:rPr>
          <w:rFonts w:ascii="Arial Unicode MS" w:eastAsia="Arial Unicode MS" w:hAnsi="Times New Roman" w:cs="Arial Unicode MS"/>
          <w:sz w:val="20"/>
          <w:szCs w:val="20"/>
        </w:rPr>
        <w:t xml:space="preserve">chells E, Darzins P, Silberfeld M, Assessment of patient capacity to consent to treatment. J Gen Intern Med 1999;14:27-34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39. Kim SYH, Caine ED Utility and limits of the Mini Mental State Examination in evaluating consent capacity in Alzheimer's disease. </w:t>
      </w:r>
      <w:r>
        <w:rPr>
          <w:rFonts w:ascii="Arial Unicode MS" w:eastAsia="Arial Unicode MS" w:hAnsi="Times New Roman" w:cs="Arial Unicode MS"/>
          <w:sz w:val="20"/>
          <w:szCs w:val="20"/>
        </w:rPr>
        <w:t xml:space="preserve">Psychiatr Serv 2002;53:1322-1324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40. Karlawish JHT, Casarett DJ, James BD, Xie SX, Kim SYH The ability of persons with Alzheimer disease (AD) to make a decision about taking an AD treatment. Neurology 2005;64:1514-1519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41. Dunn LB, Nowrangi MA, Palmer BW</w:t>
      </w:r>
      <w:r>
        <w:rPr>
          <w:rFonts w:ascii="Arial Unicode MS" w:eastAsia="Arial Unicode MS" w:hAnsi="Times New Roman" w:cs="Arial Unicode MS"/>
          <w:sz w:val="20"/>
          <w:szCs w:val="20"/>
        </w:rPr>
        <w:t xml:space="preserve">, Jeste DV, Saks ER Assessing decisional capacity for clinical research or treatment:a review of instruments. Am J Psychiatry 2006;163:1323-1334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42. Sturman ED The capacity to consent to treatment and research:a review of standardized assessment tools. Cl</w:t>
      </w:r>
      <w:r>
        <w:rPr>
          <w:rFonts w:ascii="Arial Unicode MS" w:eastAsia="Arial Unicode MS" w:hAnsi="Times New Roman" w:cs="Arial Unicode MS"/>
          <w:sz w:val="20"/>
          <w:szCs w:val="20"/>
        </w:rPr>
        <w:t xml:space="preserve">in Psychol Rev 2005;25:954-974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43. Grisso T, Appelbaum PS. MacArthur Competence Assessment Tool for Treatment (MacCAT-T). Sarasota, FL:Professional Resource Press, 1998.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44. Cairns R, Maddock C, Buchanan A, Reliability of mental capacity assessments in p</w:t>
      </w:r>
      <w:r>
        <w:rPr>
          <w:rFonts w:ascii="Arial Unicode MS" w:eastAsia="Arial Unicode MS" w:hAnsi="Times New Roman" w:cs="Arial Unicode MS"/>
          <w:sz w:val="20"/>
          <w:szCs w:val="20"/>
        </w:rPr>
        <w:t xml:space="preserve">sychiatric in-patients. Br J Psychiatry 2005;187:372-378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45. Appelbaum PS, Grisso T Assessing patients' capacities to consent to treatment. N Engl J Med 1988;319:1635-1638 [Erratum, N Engl J Med 1989;320:748.]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46. Wirshing DA, Wirshing WC, Marder SC, Lib</w:t>
      </w:r>
      <w:r>
        <w:rPr>
          <w:rFonts w:ascii="Arial Unicode MS" w:eastAsia="Arial Unicode MS" w:hAnsi="Times New Roman" w:cs="Arial Unicode MS"/>
          <w:sz w:val="20"/>
          <w:szCs w:val="20"/>
        </w:rPr>
        <w:t xml:space="preserve">erman RP, Mintz J Informed consent:assessment of comprehension. Am J Psychiatry 1998;155:1508-1511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47. ABA Commission on Law and Aging. Surrogate consent in the absence of an advance directive. Chicago:American Bar Association, June 2007. (Accessed Octobe</w:t>
      </w:r>
      <w:r>
        <w:rPr>
          <w:rFonts w:ascii="Arial Unicode MS" w:eastAsia="Arial Unicode MS" w:hAnsi="Times New Roman" w:cs="Arial Unicode MS"/>
          <w:sz w:val="20"/>
          <w:szCs w:val="20"/>
        </w:rPr>
        <w:t xml:space="preserve">r 4, 2007, at http://www.abanet.org/aging/legislativeupdates/docs/Famcon_05-07.pdf.)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48. Charland LC Is Mr. Spock mentally competent? Competence to consent and emotion. Philos Psychiatry Psychol 1998;5:67-95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49. Slobogin C "Appreciation" as a measure of </w:t>
      </w:r>
      <w:r>
        <w:rPr>
          <w:rFonts w:ascii="Arial Unicode MS" w:eastAsia="Arial Unicode MS" w:hAnsi="Times New Roman" w:cs="Arial Unicode MS"/>
          <w:sz w:val="20"/>
          <w:szCs w:val="20"/>
        </w:rPr>
        <w:t xml:space="preserve">competence:some thoughts about the MacArthur group's approach. Psychol Pub Pol Law 1996;2:18-30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50. Saks ER, Dunn LB, Marshall BJ, Nayak GV, Golshan S, Jeste DV The California Scale of Appreciation:a new instrument to measure the appreciation component of capacity to consent to research. Am J Geriatr Psychiatry 2002;10:166-174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lastRenderedPageBreak/>
        <w:t xml:space="preserve">51. Gurrera RJ, Karel </w:t>
      </w:r>
      <w:r>
        <w:rPr>
          <w:rFonts w:ascii="Arial Unicode MS" w:eastAsia="Arial Unicode MS" w:hAnsi="Times New Roman" w:cs="Arial Unicode MS"/>
          <w:sz w:val="20"/>
          <w:szCs w:val="20"/>
        </w:rPr>
        <w:t xml:space="preserve">MJ, Azar AR, Moye J Agreement between instruments for rating treatment decisional capacity. Am J Geriatr Psychiatry 2007;15:168-173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52. Kim SYH, Appelbaum PS, Swan J, Determining when impairment constitutes incapacity for informed consent in schizophrenia</w:t>
      </w:r>
      <w:r>
        <w:rPr>
          <w:rFonts w:ascii="Arial Unicode MS" w:eastAsia="Arial Unicode MS" w:hAnsi="Times New Roman" w:cs="Arial Unicode MS"/>
          <w:sz w:val="20"/>
          <w:szCs w:val="20"/>
        </w:rPr>
        <w:t xml:space="preserve"> research. Br J Psychiatry 2007;191:38-43 </w:t>
      </w:r>
    </w:p>
    <w:p w:rsidR="00000000" w:rsidRDefault="002B492A">
      <w:pPr>
        <w:spacing w:after="100" w:line="320" w:lineRule="atLeast"/>
        <w:rPr>
          <w:rFonts w:ascii="Arial Unicode MS" w:eastAsia="Arial Unicode MS" w:hAnsi="Times New Roman" w:cs="Arial Unicode MS"/>
          <w:b/>
          <w:bCs/>
          <w:sz w:val="20"/>
          <w:szCs w:val="20"/>
        </w:rPr>
      </w:pPr>
      <w:r>
        <w:rPr>
          <w:rFonts w:ascii="Arial Unicode MS" w:eastAsia="Arial Unicode MS" w:hAnsi="Times New Roman" w:cs="Arial Unicode MS"/>
          <w:b/>
          <w:bCs/>
          <w:sz w:val="20"/>
          <w:szCs w:val="20"/>
        </w:rPr>
        <w:t>Illustration</w:t>
      </w:r>
    </w:p>
    <w:p w:rsidR="00000000" w:rsidRDefault="002B492A">
      <w:pPr>
        <w:spacing w:after="100" w:line="320" w:lineRule="atLeast"/>
        <w:rPr>
          <w:rFonts w:ascii="Arial Unicode MS" w:eastAsia="Arial Unicode MS" w:hAnsi="Times New Roman" w:cs="Arial Unicode MS"/>
          <w:b/>
          <w:bCs/>
          <w:sz w:val="20"/>
          <w:szCs w:val="20"/>
        </w:rPr>
      </w:pPr>
      <w:r>
        <w:rPr>
          <w:rFonts w:ascii="Arial Unicode MS" w:eastAsia="Arial Unicode MS" w:hAnsi="Times New Roman" w:cs="Arial Unicode MS"/>
          <w:b/>
          <w:bCs/>
          <w:sz w:val="20"/>
          <w:szCs w:val="20"/>
        </w:rPr>
        <w:t xml:space="preserve">Table 1: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Legally Relevant Criteria for Decision-Making Capacity and Approaches to Assessment of the Patient.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[Image Omitted: See PDF]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sz w:val="20"/>
          <w:szCs w:val="20"/>
        </w:rPr>
        <w:t>From the Division of Law, Ethics, and Psychiatry, Department of</w:t>
      </w:r>
      <w:r>
        <w:rPr>
          <w:rFonts w:ascii="Arial Unicode MS" w:eastAsia="Arial Unicode MS" w:hAnsi="Times New Roman" w:cs="Arial Unicode MS"/>
          <w:sz w:val="20"/>
          <w:szCs w:val="20"/>
        </w:rPr>
        <w:t xml:space="preserve"> Psychiatry, College of Physicians and Surgeons, Columbia University and New York State Psychiatric Institute, New York. Address correspondence to Dr. Appelbaum at the New York State Psychiatric Institute, Unit 122, 1051 Riverside Dr., New York, NY 10032, </w:t>
      </w:r>
      <w:r>
        <w:rPr>
          <w:rFonts w:ascii="Arial Unicode MS" w:eastAsia="Arial Unicode MS" w:hAnsi="Times New Roman" w:cs="Arial Unicode MS"/>
          <w:sz w:val="20"/>
          <w:szCs w:val="20"/>
        </w:rPr>
        <w:t xml:space="preserve">or at psa21@columbia.edu . </w:t>
      </w:r>
    </w:p>
    <w:p w:rsidR="00000000" w:rsidRDefault="002B492A">
      <w:pPr>
        <w:spacing w:after="100" w:line="320" w:lineRule="atLeast"/>
        <w:rPr>
          <w:rFonts w:ascii="Arial Unicode MS" w:eastAsia="Arial Unicode MS" w:hAnsi="Times New Roman" w:cs="Arial Unicode MS"/>
          <w:sz w:val="20"/>
          <w:szCs w:val="20"/>
        </w:rPr>
      </w:pP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Subject: </w:t>
      </w:r>
      <w:r>
        <w:rPr>
          <w:rFonts w:ascii="Arial Unicode MS" w:eastAsia="Arial Unicode MS" w:hAnsi="Times New Roman" w:cs="Arial Unicode MS"/>
          <w:sz w:val="20"/>
          <w:szCs w:val="20"/>
        </w:rPr>
        <w:t xml:space="preserve">Informed consent; Judicial reviews; Patients; Medical research; Physicians; </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MeSH: </w:t>
      </w:r>
      <w:r>
        <w:rPr>
          <w:rFonts w:ascii="Arial Unicode MS" w:eastAsia="Arial Unicode MS" w:hAnsi="Times New Roman" w:cs="Arial Unicode MS"/>
          <w:sz w:val="20"/>
          <w:szCs w:val="20"/>
        </w:rPr>
        <w:t>Aged, Amputation, Decision Making, Diabetes Mellitus, Type 2 -- complications, Diabetic Foot -- etiology, Female, Gangrene, Geriatric A</w:t>
      </w:r>
      <w:r>
        <w:rPr>
          <w:rFonts w:ascii="Arial Unicode MS" w:eastAsia="Arial Unicode MS" w:hAnsi="Times New Roman" w:cs="Arial Unicode MS"/>
          <w:sz w:val="20"/>
          <w:szCs w:val="20"/>
        </w:rPr>
        <w:t>ssessment, Humans, Neuropsychological Tests, Informed Consent (major), Mental Competency (major), Mental Status Schedule (major)</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Publication title: </w:t>
      </w:r>
      <w:r>
        <w:rPr>
          <w:rFonts w:ascii="Arial Unicode MS" w:eastAsia="Arial Unicode MS" w:hAnsi="Times New Roman" w:cs="Arial Unicode MS"/>
          <w:sz w:val="20"/>
          <w:szCs w:val="20"/>
        </w:rPr>
        <w:t>The New England Journal of Medicine</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Volume: </w:t>
      </w:r>
      <w:r>
        <w:rPr>
          <w:rFonts w:ascii="Arial Unicode MS" w:eastAsia="Arial Unicode MS" w:hAnsi="Times New Roman" w:cs="Arial Unicode MS"/>
          <w:sz w:val="20"/>
          <w:szCs w:val="20"/>
        </w:rPr>
        <w:t>357</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Issue: </w:t>
      </w:r>
      <w:r>
        <w:rPr>
          <w:rFonts w:ascii="Arial Unicode MS" w:eastAsia="Arial Unicode MS" w:hAnsi="Times New Roman" w:cs="Arial Unicode MS"/>
          <w:sz w:val="20"/>
          <w:szCs w:val="20"/>
        </w:rPr>
        <w:t>18</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Pages: </w:t>
      </w:r>
      <w:r>
        <w:rPr>
          <w:rFonts w:ascii="Arial Unicode MS" w:eastAsia="Arial Unicode MS" w:hAnsi="Times New Roman" w:cs="Arial Unicode MS"/>
          <w:sz w:val="20"/>
          <w:szCs w:val="20"/>
        </w:rPr>
        <w:t>1834-40</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Publication year: </w:t>
      </w:r>
      <w:r>
        <w:rPr>
          <w:rFonts w:ascii="Arial Unicode MS" w:eastAsia="Arial Unicode MS" w:hAnsi="Times New Roman" w:cs="Arial Unicode MS"/>
          <w:sz w:val="20"/>
          <w:szCs w:val="20"/>
        </w:rPr>
        <w:t>2007</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Publication date: </w:t>
      </w:r>
      <w:r>
        <w:rPr>
          <w:rFonts w:ascii="Arial Unicode MS" w:eastAsia="Arial Unicode MS" w:hAnsi="Times New Roman" w:cs="Arial Unicode MS"/>
          <w:sz w:val="20"/>
          <w:szCs w:val="20"/>
        </w:rPr>
        <w:t>Nov 1, 2007</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Year: </w:t>
      </w:r>
      <w:r>
        <w:rPr>
          <w:rFonts w:ascii="Arial Unicode MS" w:eastAsia="Arial Unicode MS" w:hAnsi="Times New Roman" w:cs="Arial Unicode MS"/>
          <w:sz w:val="20"/>
          <w:szCs w:val="20"/>
        </w:rPr>
        <w:t>2007</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Section: </w:t>
      </w:r>
      <w:r>
        <w:rPr>
          <w:rFonts w:ascii="Arial Unicode MS" w:eastAsia="Arial Unicode MS" w:hAnsi="Times New Roman" w:cs="Arial Unicode MS"/>
          <w:sz w:val="20"/>
          <w:szCs w:val="20"/>
        </w:rPr>
        <w:t>26; 29; 39; Clinical Practice</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Publisher: </w:t>
      </w:r>
      <w:r>
        <w:rPr>
          <w:rFonts w:ascii="Arial Unicode MS" w:eastAsia="Arial Unicode MS" w:hAnsi="Times New Roman" w:cs="Arial Unicode MS"/>
          <w:sz w:val="20"/>
          <w:szCs w:val="20"/>
        </w:rPr>
        <w:t>Massachusetts Medical Society</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Place of publication: </w:t>
      </w:r>
      <w:r>
        <w:rPr>
          <w:rFonts w:ascii="Arial Unicode MS" w:eastAsia="Arial Unicode MS" w:hAnsi="Times New Roman" w:cs="Arial Unicode MS"/>
          <w:sz w:val="20"/>
          <w:szCs w:val="20"/>
        </w:rPr>
        <w:t>Boston</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Country of publication: </w:t>
      </w:r>
      <w:r>
        <w:rPr>
          <w:rFonts w:ascii="Arial Unicode MS" w:eastAsia="Arial Unicode MS" w:hAnsi="Times New Roman" w:cs="Arial Unicode MS"/>
          <w:sz w:val="20"/>
          <w:szCs w:val="20"/>
        </w:rPr>
        <w:t>United States</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Publication subject: </w:t>
      </w:r>
      <w:r>
        <w:rPr>
          <w:rFonts w:ascii="Arial Unicode MS" w:eastAsia="Arial Unicode MS" w:hAnsi="Times New Roman" w:cs="Arial Unicode MS"/>
          <w:sz w:val="20"/>
          <w:szCs w:val="20"/>
        </w:rPr>
        <w:t>Medical Sciences</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ISSN: </w:t>
      </w:r>
      <w:r>
        <w:rPr>
          <w:rFonts w:ascii="Arial Unicode MS" w:eastAsia="Arial Unicode MS" w:hAnsi="Times New Roman" w:cs="Arial Unicode MS"/>
          <w:sz w:val="20"/>
          <w:szCs w:val="20"/>
        </w:rPr>
        <w:t>00284793</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CODEN: </w:t>
      </w:r>
      <w:r>
        <w:rPr>
          <w:rFonts w:ascii="Arial Unicode MS" w:eastAsia="Arial Unicode MS" w:hAnsi="Times New Roman" w:cs="Arial Unicode MS"/>
          <w:sz w:val="20"/>
          <w:szCs w:val="20"/>
        </w:rPr>
        <w:t>NEJMAG</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S</w:t>
      </w:r>
      <w:r>
        <w:rPr>
          <w:rFonts w:ascii="Arial Unicode MS" w:eastAsia="Arial Unicode MS" w:hAnsi="Times New Roman" w:cs="Arial Unicode MS"/>
          <w:b/>
          <w:bCs/>
          <w:sz w:val="20"/>
          <w:szCs w:val="20"/>
        </w:rPr>
        <w:t xml:space="preserve">ource type: </w:t>
      </w:r>
      <w:r>
        <w:rPr>
          <w:rFonts w:ascii="Arial Unicode MS" w:eastAsia="Arial Unicode MS" w:hAnsi="Times New Roman" w:cs="Arial Unicode MS"/>
          <w:sz w:val="20"/>
          <w:szCs w:val="20"/>
        </w:rPr>
        <w:t>Scholarly Journals</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Language of publication: </w:t>
      </w:r>
      <w:r>
        <w:rPr>
          <w:rFonts w:ascii="Arial Unicode MS" w:eastAsia="Arial Unicode MS" w:hAnsi="Times New Roman" w:cs="Arial Unicode MS"/>
          <w:sz w:val="20"/>
          <w:szCs w:val="20"/>
        </w:rPr>
        <w:t>English</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Document type: </w:t>
      </w:r>
      <w:r>
        <w:rPr>
          <w:rFonts w:ascii="Arial Unicode MS" w:eastAsia="Arial Unicode MS" w:hAnsi="Times New Roman" w:cs="Arial Unicode MS"/>
          <w:sz w:val="20"/>
          <w:szCs w:val="20"/>
        </w:rPr>
        <w:t>General Information, Journal Article</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lastRenderedPageBreak/>
        <w:t xml:space="preserve">Document feature: </w:t>
      </w:r>
      <w:r>
        <w:rPr>
          <w:rFonts w:ascii="Arial Unicode MS" w:eastAsia="Arial Unicode MS" w:hAnsi="Times New Roman" w:cs="Arial Unicode MS"/>
          <w:sz w:val="20"/>
          <w:szCs w:val="20"/>
        </w:rPr>
        <w:t>References Tables</w:t>
      </w:r>
    </w:p>
    <w:p w:rsidR="00000000" w:rsidRDefault="002B492A">
      <w:pPr>
        <w:spacing w:after="100" w:line="320" w:lineRule="atLeast"/>
        <w:rPr>
          <w:rFonts w:ascii="Times New Roman" w:eastAsia="Arial Unicode MS" w:hAnsi="Times New Roman" w:cs="Times New Roman"/>
          <w:sz w:val="20"/>
          <w:szCs w:val="20"/>
        </w:rPr>
      </w:pPr>
      <w:r>
        <w:rPr>
          <w:rFonts w:ascii="Arial Unicode MS" w:eastAsia="Arial Unicode MS" w:hAnsi="Times New Roman" w:cs="Arial Unicode MS"/>
          <w:b/>
          <w:bCs/>
          <w:sz w:val="20"/>
          <w:szCs w:val="20"/>
        </w:rPr>
        <w:t xml:space="preserve">DOI: </w:t>
      </w:r>
      <w:hyperlink r:id="rId11" w:history="1">
        <w:r>
          <w:rPr>
            <w:rFonts w:ascii="Arial Unicode MS" w:eastAsia="Arial Unicode MS" w:hAnsi="Times New Roman" w:cs="Arial Unicode MS"/>
            <w:color w:val="005E90"/>
            <w:sz w:val="20"/>
            <w:szCs w:val="20"/>
            <w:u w:val="single"/>
          </w:rPr>
          <w:t>http://dx.doi.org/10.1056/NEJMcp074045</w:t>
        </w:r>
      </w:hyperlink>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Accession number: </w:t>
      </w:r>
      <w:r>
        <w:rPr>
          <w:rFonts w:ascii="Arial Unicode MS" w:eastAsia="Arial Unicode MS" w:hAnsi="Times New Roman" w:cs="Arial Unicode MS"/>
          <w:sz w:val="20"/>
          <w:szCs w:val="20"/>
        </w:rPr>
        <w:t>17978292</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ProQuest document ID: </w:t>
      </w:r>
      <w:r>
        <w:rPr>
          <w:rFonts w:ascii="Arial Unicode MS" w:eastAsia="Arial Unicode MS" w:hAnsi="Times New Roman" w:cs="Arial Unicode MS"/>
          <w:sz w:val="20"/>
          <w:szCs w:val="20"/>
        </w:rPr>
        <w:t>223927852</w:t>
      </w:r>
    </w:p>
    <w:p w:rsidR="00000000" w:rsidRDefault="002B492A">
      <w:pPr>
        <w:spacing w:after="100" w:line="320" w:lineRule="atLeast"/>
        <w:rPr>
          <w:rFonts w:ascii="Times New Roman" w:eastAsia="Arial Unicode MS" w:hAnsi="Times New Roman" w:cs="Times New Roman"/>
          <w:sz w:val="20"/>
          <w:szCs w:val="20"/>
        </w:rPr>
      </w:pPr>
      <w:r>
        <w:rPr>
          <w:rFonts w:ascii="Arial Unicode MS" w:eastAsia="Arial Unicode MS" w:hAnsi="Times New Roman" w:cs="Arial Unicode MS"/>
          <w:b/>
          <w:bCs/>
          <w:sz w:val="20"/>
          <w:szCs w:val="20"/>
        </w:rPr>
        <w:t xml:space="preserve">Document URL: </w:t>
      </w:r>
      <w:hyperlink r:id="rId12" w:history="1">
        <w:r>
          <w:rPr>
            <w:rFonts w:ascii="Arial Unicode MS" w:eastAsia="Arial Unicode MS" w:hAnsi="Times New Roman" w:cs="Arial Unicode MS"/>
            <w:color w:val="005E90"/>
            <w:sz w:val="20"/>
            <w:szCs w:val="20"/>
            <w:u w:val="single"/>
          </w:rPr>
          <w:t>http://search.proquest.com/docview/223927852?accountid=14872</w:t>
        </w:r>
      </w:hyperlink>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Copyright: </w:t>
      </w:r>
      <w:r>
        <w:rPr>
          <w:rFonts w:ascii="Arial Unicode MS" w:eastAsia="Arial Unicode MS" w:hAnsi="Times New Roman" w:cs="Arial Unicode MS"/>
          <w:sz w:val="20"/>
          <w:szCs w:val="20"/>
        </w:rPr>
        <w:t xml:space="preserve">Copyright </w:t>
      </w:r>
      <w:r>
        <w:rPr>
          <w:rFonts w:ascii="Arial Unicode MS" w:eastAsia="Arial Unicode MS" w:hAnsi="Times New Roman" w:cs="Arial Unicode MS" w:hint="eastAsia"/>
          <w:sz w:val="20"/>
          <w:szCs w:val="20"/>
        </w:rPr>
        <w:t>©</w:t>
      </w:r>
      <w:r>
        <w:rPr>
          <w:rFonts w:ascii="Arial Unicode MS" w:eastAsia="Arial Unicode MS" w:hAnsi="Times New Roman" w:cs="Arial Unicode MS"/>
          <w:sz w:val="20"/>
          <w:szCs w:val="20"/>
        </w:rPr>
        <w:t xml:space="preserve"> 2007 Massachusetts Medical</w:t>
      </w:r>
      <w:r>
        <w:rPr>
          <w:rFonts w:ascii="Arial Unicode MS" w:eastAsia="Arial Unicode MS" w:hAnsi="Times New Roman" w:cs="Arial Unicode MS"/>
          <w:sz w:val="20"/>
          <w:szCs w:val="20"/>
        </w:rPr>
        <w:t xml:space="preserve"> Society. All rights reserved.</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Last updated: </w:t>
      </w:r>
      <w:r>
        <w:rPr>
          <w:rFonts w:ascii="Arial Unicode MS" w:eastAsia="Arial Unicode MS" w:hAnsi="Times New Roman" w:cs="Arial Unicode MS"/>
          <w:sz w:val="20"/>
          <w:szCs w:val="20"/>
        </w:rPr>
        <w:t>2014-03-31</w:t>
      </w:r>
    </w:p>
    <w:p w:rsidR="00000000" w:rsidRDefault="002B492A">
      <w:pPr>
        <w:spacing w:after="100" w:line="320" w:lineRule="atLeast"/>
        <w:rPr>
          <w:rFonts w:ascii="Arial Unicode MS" w:eastAsia="Arial Unicode MS" w:hAnsi="Times New Roman" w:cs="Arial Unicode MS"/>
          <w:sz w:val="20"/>
          <w:szCs w:val="20"/>
        </w:rPr>
      </w:pPr>
      <w:r>
        <w:rPr>
          <w:rFonts w:ascii="Arial Unicode MS" w:eastAsia="Arial Unicode MS" w:hAnsi="Times New Roman" w:cs="Arial Unicode MS"/>
          <w:b/>
          <w:bCs/>
          <w:sz w:val="20"/>
          <w:szCs w:val="20"/>
        </w:rPr>
        <w:t xml:space="preserve">Database: </w:t>
      </w:r>
      <w:r>
        <w:rPr>
          <w:rFonts w:ascii="Arial Unicode MS" w:eastAsia="Arial Unicode MS" w:hAnsi="Times New Roman" w:cs="Arial Unicode MS"/>
          <w:sz w:val="20"/>
          <w:szCs w:val="20"/>
        </w:rPr>
        <w:t>ProQuest Central,ProQuest Nursing &amp; Allied Health Source</w:t>
      </w:r>
    </w:p>
    <w:p w:rsidR="00000000" w:rsidRDefault="002B492A">
      <w:pPr>
        <w:rPr>
          <w:rFonts w:ascii="Arial Unicode MS" w:eastAsia="Arial Unicode MS" w:hAnsi="Times New Roman" w:cs="Arial Unicode MS"/>
          <w:color w:val="CCCCCC"/>
          <w:sz w:val="28"/>
          <w:szCs w:val="28"/>
        </w:rPr>
      </w:pPr>
      <w:r>
        <w:rPr>
          <w:rFonts w:ascii="Arial Unicode MS" w:eastAsia="Arial Unicode MS" w:hAnsi="Times New Roman" w:cs="Arial Unicode MS"/>
          <w:b/>
          <w:bCs/>
          <w:color w:val="CCCCCC"/>
          <w:sz w:val="28"/>
          <w:szCs w:val="28"/>
        </w:rPr>
        <w:t>_______________________________________________________________</w:t>
      </w:r>
    </w:p>
    <w:p w:rsidR="00000000" w:rsidRDefault="002B492A">
      <w:pPr>
        <w:rPr>
          <w:rFonts w:ascii="Times New Roman" w:hAnsi="Times New Roman" w:cs="Times New Roman"/>
          <w:color w:val="auto"/>
        </w:rPr>
      </w:pPr>
      <w:r>
        <w:rPr>
          <w:rFonts w:ascii="Times New Roman" w:hAnsi="Times New Roman" w:cs="Times New Roman"/>
          <w:color w:val="auto"/>
        </w:rPr>
        <w:t xml:space="preserve"> </w:t>
      </w:r>
    </w:p>
    <w:p w:rsidR="00000000" w:rsidRDefault="002B492A">
      <w:pPr>
        <w:spacing w:after="100" w:line="20" w:lineRule="atLeast"/>
        <w:rPr>
          <w:rFonts w:ascii="Times New Roman" w:hAnsi="Times New Roman" w:cs="Times New Roman"/>
          <w:color w:val="auto"/>
        </w:rPr>
      </w:pPr>
      <w:hyperlink r:id="rId13" w:history="1">
        <w:r>
          <w:rPr>
            <w:rFonts w:ascii="Arial Unicode MS" w:eastAsia="Arial Unicode MS" w:hAnsi="Times New Roman" w:cs="Arial Unicode MS"/>
            <w:b/>
            <w:bCs/>
            <w:sz w:val="18"/>
            <w:szCs w:val="18"/>
            <w:u w:val="single"/>
          </w:rPr>
          <w:t>Contact ProQuest</w:t>
        </w:r>
      </w:hyperlink>
    </w:p>
    <w:p w:rsidR="00000000" w:rsidRDefault="002B492A">
      <w:pPr>
        <w:spacing w:after="100" w:line="20" w:lineRule="atLeast"/>
        <w:rPr>
          <w:rFonts w:ascii="Times New Roman" w:eastAsia="Arial Unicode MS" w:hAnsi="Times New Roman" w:cs="Times New Roman"/>
          <w:sz w:val="20"/>
          <w:szCs w:val="20"/>
        </w:rPr>
      </w:pPr>
      <w:r>
        <w:rPr>
          <w:rFonts w:ascii="Arial Unicode MS" w:eastAsia="Arial Unicode MS" w:hAnsi="Times New Roman" w:cs="Arial Unicode MS"/>
          <w:sz w:val="20"/>
          <w:szCs w:val="20"/>
        </w:rPr>
        <w:t xml:space="preserve">Copyright </w:t>
      </w:r>
      <w:r>
        <w:rPr>
          <w:rFonts w:ascii="Symbol" w:eastAsia="Arial Unicode MS" w:hAnsi="Symbol" w:cs="Symbol"/>
          <w:sz w:val="20"/>
          <w:szCs w:val="20"/>
        </w:rPr>
        <w:t></w:t>
      </w:r>
      <w:r>
        <w:rPr>
          <w:rFonts w:ascii="Arial Unicode MS" w:eastAsia="Arial Unicode MS" w:hAnsi="Symbol" w:cs="Arial Unicode MS" w:hint="eastAsia"/>
          <w:sz w:val="20"/>
          <w:szCs w:val="20"/>
        </w:rPr>
        <w:t xml:space="preserve"> 2014 ProQuest LLC. All rights reserved. - </w:t>
      </w:r>
      <w:hyperlink r:id="rId14" w:history="1">
        <w:r>
          <w:rPr>
            <w:rFonts w:ascii="Arial Unicode MS" w:eastAsia="Arial Unicode MS" w:hAnsi="Times New Roman" w:cs="Arial Unicode MS"/>
            <w:b/>
            <w:bCs/>
            <w:sz w:val="18"/>
            <w:szCs w:val="18"/>
            <w:u w:val="single"/>
          </w:rPr>
          <w:t>Terms and Conditions</w:t>
        </w:r>
      </w:hyperlink>
    </w:p>
    <w:sectPr w:rsidR="00000000">
      <w:footerReference w:type="default" r:id="rId15"/>
      <w:pgSz w:w="11907" w:h="16840"/>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492A">
      <w:r>
        <w:separator/>
      </w:r>
    </w:p>
  </w:endnote>
  <w:endnote w:type="continuationSeparator" w:id="0">
    <w:p w:rsidR="00000000" w:rsidRDefault="002B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proquest/apps/onesearch/it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jc w:val="center"/>
      <w:tblLayout w:type="fixed"/>
      <w:tblCellMar>
        <w:left w:w="0" w:type="dxa"/>
        <w:right w:w="0" w:type="dxa"/>
      </w:tblCellMar>
      <w:tblLook w:val="0000" w:firstRow="0" w:lastRow="0" w:firstColumn="0" w:lastColumn="0" w:noHBand="0" w:noVBand="0"/>
    </w:tblPr>
    <w:tblGrid>
      <w:gridCol w:w="1981"/>
      <w:gridCol w:w="5945"/>
      <w:gridCol w:w="1981"/>
    </w:tblGrid>
    <w:tr w:rsidR="00000000">
      <w:tblPrEx>
        <w:tblCellMar>
          <w:top w:w="0" w:type="dxa"/>
          <w:bottom w:w="0" w:type="dxa"/>
        </w:tblCellMar>
      </w:tblPrEx>
      <w:trPr>
        <w:jc w:val="center"/>
      </w:trPr>
      <w:tc>
        <w:tcPr>
          <w:tcW w:w="1981" w:type="dxa"/>
          <w:tcBorders>
            <w:top w:val="nil"/>
            <w:left w:val="nil"/>
            <w:bottom w:val="nil"/>
            <w:right w:val="nil"/>
          </w:tcBorders>
          <w:shd w:val="clear" w:color="auto" w:fill="FFFFFF"/>
          <w:vAlign w:val="center"/>
        </w:tcPr>
        <w:p w:rsidR="00000000" w:rsidRDefault="002B492A">
          <w:pPr>
            <w:rPr>
              <w:rFonts w:ascii="Arial Unicode MS" w:eastAsia="Arial Unicode MS" w:hAnsi="Times New Roman" w:cs="Arial Unicode MS"/>
              <w:sz w:val="20"/>
              <w:szCs w:val="20"/>
            </w:rPr>
          </w:pPr>
          <w:r>
            <w:rPr>
              <w:rFonts w:ascii="Arial Unicode MS" w:eastAsia="Arial Unicode MS" w:hAnsi="Times New Roman" w:cs="Arial Unicode MS"/>
              <w:sz w:val="20"/>
              <w:szCs w:val="20"/>
            </w:rPr>
            <w:t>09 October 2014</w:t>
          </w:r>
        </w:p>
      </w:tc>
      <w:tc>
        <w:tcPr>
          <w:tcW w:w="5944" w:type="dxa"/>
          <w:tcBorders>
            <w:top w:val="nil"/>
            <w:left w:val="nil"/>
            <w:bottom w:val="nil"/>
            <w:right w:val="nil"/>
          </w:tcBorders>
          <w:shd w:val="clear" w:color="auto" w:fill="FFFFFF"/>
          <w:vAlign w:val="center"/>
        </w:tcPr>
        <w:p w:rsidR="00000000" w:rsidRDefault="002B492A">
          <w:pPr>
            <w:jc w:val="center"/>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Page </w:t>
          </w:r>
          <w:r>
            <w:rPr>
              <w:rFonts w:ascii="Arial Unicode MS" w:eastAsia="Arial Unicode MS" w:hAnsi="Times New Roman" w:cs="Arial Unicode MS"/>
              <w:sz w:val="20"/>
              <w:szCs w:val="20"/>
            </w:rPr>
            <w:fldChar w:fldCharType="begin"/>
          </w:r>
          <w:r>
            <w:rPr>
              <w:rFonts w:ascii="Arial Unicode MS" w:eastAsia="Arial Unicode MS" w:hAnsi="Times New Roman" w:cs="Arial Unicode MS"/>
              <w:sz w:val="20"/>
              <w:szCs w:val="20"/>
            </w:rPr>
            <w:instrText>PAGE</w:instrText>
          </w:r>
          <w:r>
            <w:rPr>
              <w:rFonts w:ascii="Arial Unicode MS" w:eastAsia="Arial Unicode MS" w:hAnsi="Times New Roman" w:cs="Arial Unicode MS"/>
              <w:sz w:val="20"/>
              <w:szCs w:val="20"/>
            </w:rPr>
            <w:fldChar w:fldCharType="separate"/>
          </w:r>
          <w:r>
            <w:rPr>
              <w:rFonts w:ascii="Arial Unicode MS" w:eastAsia="Arial Unicode MS" w:hAnsi="Times New Roman" w:cs="Arial Unicode MS"/>
              <w:noProof/>
              <w:sz w:val="20"/>
              <w:szCs w:val="20"/>
            </w:rPr>
            <w:t>5</w:t>
          </w:r>
          <w:r>
            <w:rPr>
              <w:rFonts w:ascii="Arial Unicode MS" w:eastAsia="Arial Unicode MS" w:hAnsi="Times New Roman" w:cs="Arial Unicode MS"/>
              <w:sz w:val="20"/>
              <w:szCs w:val="20"/>
            </w:rPr>
            <w:fldChar w:fldCharType="end"/>
          </w:r>
          <w:r>
            <w:rPr>
              <w:rFonts w:ascii="Arial Unicode MS" w:eastAsia="Arial Unicode MS" w:hAnsi="Times New Roman" w:cs="Arial Unicode MS"/>
              <w:sz w:val="20"/>
              <w:szCs w:val="20"/>
            </w:rPr>
            <w:t xml:space="preserve"> of </w:t>
          </w:r>
          <w:r>
            <w:rPr>
              <w:rFonts w:ascii="Arial Unicode MS" w:eastAsia="Arial Unicode MS" w:hAnsi="Times New Roman" w:cs="Arial Unicode MS"/>
              <w:sz w:val="20"/>
              <w:szCs w:val="20"/>
            </w:rPr>
            <w:fldChar w:fldCharType="begin"/>
          </w:r>
          <w:r>
            <w:rPr>
              <w:rFonts w:ascii="Arial Unicode MS" w:eastAsia="Arial Unicode MS" w:hAnsi="Times New Roman" w:cs="Arial Unicode MS"/>
              <w:sz w:val="20"/>
              <w:szCs w:val="20"/>
            </w:rPr>
            <w:instrText>NUMPAGES \* Arabic</w:instrText>
          </w:r>
          <w:r>
            <w:rPr>
              <w:rFonts w:ascii="Arial Unicode MS" w:eastAsia="Arial Unicode MS" w:hAnsi="Times New Roman" w:cs="Arial Unicode MS"/>
              <w:sz w:val="20"/>
              <w:szCs w:val="20"/>
            </w:rPr>
            <w:fldChar w:fldCharType="separate"/>
          </w:r>
          <w:r>
            <w:rPr>
              <w:rFonts w:ascii="Arial Unicode MS" w:eastAsia="Arial Unicode MS" w:hAnsi="Times New Roman" w:cs="Arial Unicode MS"/>
              <w:noProof/>
              <w:sz w:val="20"/>
              <w:szCs w:val="20"/>
            </w:rPr>
            <w:t>12</w:t>
          </w:r>
          <w:r>
            <w:rPr>
              <w:rFonts w:ascii="Arial Unicode MS" w:eastAsia="Arial Unicode MS" w:hAnsi="Times New Roman" w:cs="Arial Unicode MS"/>
              <w:sz w:val="20"/>
              <w:szCs w:val="20"/>
            </w:rPr>
            <w:fldChar w:fldCharType="end"/>
          </w:r>
        </w:p>
      </w:tc>
      <w:tc>
        <w:tcPr>
          <w:tcW w:w="1981" w:type="dxa"/>
          <w:tcBorders>
            <w:top w:val="nil"/>
            <w:left w:val="nil"/>
            <w:bottom w:val="nil"/>
            <w:right w:val="nil"/>
          </w:tcBorders>
          <w:shd w:val="clear" w:color="auto" w:fill="FFFFFF"/>
          <w:vAlign w:val="center"/>
        </w:tcPr>
        <w:p w:rsidR="00000000" w:rsidRDefault="002B492A">
          <w:pPr>
            <w:jc w:val="right"/>
            <w:rPr>
              <w:rFonts w:ascii="Arial Unicode MS" w:eastAsia="Arial Unicode MS" w:hAnsi="Times New Roman" w:cs="Arial Unicode MS"/>
              <w:sz w:val="20"/>
              <w:szCs w:val="20"/>
            </w:rPr>
          </w:pPr>
          <w:r>
            <w:rPr>
              <w:rFonts w:ascii="Arial Unicode MS" w:eastAsia="Arial Unicode MS" w:hAnsi="Times New Roman" w:cs="Arial Unicode MS"/>
              <w:sz w:val="20"/>
              <w:szCs w:val="20"/>
            </w:rPr>
            <w:t>ProQuest</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492A">
      <w:r>
        <w:separator/>
      </w:r>
    </w:p>
  </w:footnote>
  <w:footnote w:type="continuationSeparator" w:id="0">
    <w:p w:rsidR="00000000" w:rsidRDefault="002B4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2A"/>
    <w:rsid w:val="002B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pPr>
      <w:spacing w:after="200"/>
    </w:pPr>
    <w:rPr>
      <w:rFonts w:ascii="com/proquest/apps/onesearch/ite" w:hAnsi="com/proquest/apps/onesearch/ite" w:cs="com/proquest/apps/onesearch/ite"/>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pPr>
      <w:spacing w:after="200"/>
    </w:pPr>
    <w:rPr>
      <w:rFonts w:ascii="com/proquest/apps/onesearch/ite" w:hAnsi="com/proquest/apps/onesearch/ite" w:cs="com/proquest/apps/onesearch/ite"/>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quest.com/go/contactsup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proquest.com/docview/223927852?accountid=148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56/NEJMcp0740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xhosted.exlibrisgroup.com/waldenu?url_ver=Z39.88-2004&amp;rft_val_fmt=info:ofi/fmt:kev:mtx:journal&amp;genre=article&amp;sid=ProQ:ProQ:healthcompleteshell&amp;atitle=Assessment%20of%20Patients'%20Competence%20to%20Consent%20to%20Treatment&amp;title=The%20New%20England%20Journal%20of%20Medicine&amp;issn=00284793&amp;date=2007-11-01&amp;volume=357&amp;issue=18&amp;spage=1834&amp;au=Appelbaum,%20Paul%20S,%20MD&amp;isbn=&amp;jtitle=The%20New%20England%20Journal%20of%20Medicine&amp;btitle=&amp;rft_id=info:eric/&amp;rft_id=info:doi/10.1056/NEJMcp074045" TargetMode="External"/><Relationship Id="rId4" Type="http://schemas.openxmlformats.org/officeDocument/2006/relationships/settings" Target="settings.xml"/><Relationship Id="rId9" Type="http://schemas.openxmlformats.org/officeDocument/2006/relationships/hyperlink" Target="http://search.proquest.com/docview/223927852?accountid=14872" TargetMode="External"/><Relationship Id="rId14" Type="http://schemas.openxmlformats.org/officeDocument/2006/relationships/hyperlink" Target="http://search.proquest.com/info/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2</cp:revision>
  <dcterms:created xsi:type="dcterms:W3CDTF">2014-10-09T12:13:00Z</dcterms:created>
  <dcterms:modified xsi:type="dcterms:W3CDTF">2014-10-09T12:13:00Z</dcterms:modified>
</cp:coreProperties>
</file>