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E" w:rsidRDefault="00400006" w:rsidP="00BF567E">
      <w:r>
        <w:t>Bus Finance</w:t>
      </w:r>
    </w:p>
    <w:p w:rsidR="00BF567E" w:rsidRDefault="00BF567E" w:rsidP="00BF567E"/>
    <w:p w:rsidR="00BF567E" w:rsidRDefault="00B84116" w:rsidP="00BF567E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Practice Test - 2</w:t>
      </w:r>
    </w:p>
    <w:p w:rsidR="00BF567E" w:rsidRDefault="00BF567E" w:rsidP="00BF567E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56711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  <a:ln w="190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65pt,7.55pt" to="447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" strokecolor="#4579b8 [3044]" strokeweight="1.5pt">
                <v:stroke linestyle="thickThin"/>
              </v:line>
            </w:pict>
          </mc:Fallback>
        </mc:AlternateContent>
      </w:r>
    </w:p>
    <w:p w:rsidR="00BF567E" w:rsidRDefault="00BF567E" w:rsidP="00BF56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00006" w:rsidRDefault="00400006" w:rsidP="00BF567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show work or calculations if you use a business calculator.</w:t>
      </w:r>
    </w:p>
    <w:p w:rsidR="00400006" w:rsidRDefault="00400006" w:rsidP="00BF567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F567E" w:rsidRDefault="00BF567E" w:rsidP="00BF567E">
      <w:pPr>
        <w:rPr>
          <w:spacing w:val="-2"/>
        </w:rPr>
      </w:pPr>
      <w:r>
        <w:rPr>
          <w:spacing w:val="-2"/>
        </w:rPr>
        <w:t>Use the following financial sheets and information for all questions.</w:t>
      </w:r>
    </w:p>
    <w:p w:rsidR="00BF567E" w:rsidRDefault="00BF567E" w:rsidP="00BF567E">
      <w:pPr>
        <w:rPr>
          <w:spacing w:val="-2"/>
        </w:rPr>
      </w:pPr>
    </w:p>
    <w:p w:rsidR="00BF567E" w:rsidRDefault="00BF567E" w:rsidP="00BF567E">
      <w:pPr>
        <w:rPr>
          <w:spacing w:val="-2"/>
        </w:rPr>
      </w:pPr>
      <w:r w:rsidRPr="00103F36">
        <w:rPr>
          <w:spacing w:val="-2"/>
        </w:rPr>
        <w:t xml:space="preserve">The balance sheet and income statement shown below are for </w:t>
      </w:r>
      <w:r w:rsidR="00400006">
        <w:rPr>
          <w:spacing w:val="-2"/>
        </w:rPr>
        <w:t xml:space="preserve">Apple </w:t>
      </w:r>
      <w:proofErr w:type="spellStart"/>
      <w:r w:rsidR="00400006">
        <w:rPr>
          <w:spacing w:val="-2"/>
        </w:rPr>
        <w:t>Jax</w:t>
      </w:r>
      <w:proofErr w:type="spellEnd"/>
      <w:r w:rsidR="00400006">
        <w:rPr>
          <w:spacing w:val="-2"/>
        </w:rPr>
        <w:t xml:space="preserve"> </w:t>
      </w:r>
      <w:r w:rsidRPr="00103F36">
        <w:rPr>
          <w:spacing w:val="-2"/>
        </w:rPr>
        <w:t>Inc.  Note that the firm has no amortization charges, it does not lease any assets, none of its debt must be retired during the next 5 years, and the notes payable will be rolled over.</w:t>
      </w:r>
    </w:p>
    <w:p w:rsidR="00BF567E" w:rsidRDefault="00BF567E" w:rsidP="00BF567E">
      <w:pPr>
        <w:rPr>
          <w:spacing w:val="-2"/>
        </w:rPr>
      </w:pPr>
    </w:p>
    <w:p w:rsidR="00BF567E" w:rsidRDefault="00BF567E" w:rsidP="00BF567E">
      <w:pPr>
        <w:rPr>
          <w:spacing w:val="-2"/>
        </w:rPr>
      </w:pPr>
    </w:p>
    <w:p w:rsidR="00BF567E" w:rsidRDefault="00BF567E" w:rsidP="00BF567E">
      <w:pPr>
        <w:rPr>
          <w:spacing w:val="-2"/>
        </w:rPr>
      </w:pPr>
    </w:p>
    <w:p w:rsidR="00BF567E" w:rsidRDefault="00BF567E" w:rsidP="00BF567E">
      <w:pPr>
        <w:rPr>
          <w:spacing w:val="-2"/>
        </w:rPr>
      </w:pPr>
    </w:p>
    <w:p w:rsidR="00BF567E" w:rsidRDefault="00BF567E" w:rsidP="00BF567E">
      <w:pPr>
        <w:rPr>
          <w:spacing w:val="-2"/>
        </w:rPr>
      </w:pPr>
      <w:bookmarkStart w:id="0" w:name="_GoBack"/>
      <w:bookmarkEnd w:id="0"/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960"/>
        <w:gridCol w:w="4080"/>
        <w:gridCol w:w="1400"/>
      </w:tblGrid>
      <w:tr w:rsidR="00BF567E" w:rsidRPr="000A364C" w:rsidTr="008708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Tax rate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</w:tr>
      <w:tr w:rsidR="00BF567E" w:rsidRPr="000A364C" w:rsidTr="00870857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Stock price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 xml:space="preserve">$17.00 </w:t>
            </w:r>
          </w:p>
        </w:tc>
      </w:tr>
      <w:tr w:rsidR="00BF567E" w:rsidRPr="000A364C" w:rsidTr="00870857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Shares outstanding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3,800,000</w:t>
            </w:r>
          </w:p>
        </w:tc>
      </w:tr>
      <w:tr w:rsidR="00BF567E" w:rsidRPr="000A364C" w:rsidTr="00870857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Dividends are 50% of net income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F567E" w:rsidRDefault="00BF567E" w:rsidP="00BF567E">
      <w:pPr>
        <w:rPr>
          <w:spacing w:val="-2"/>
        </w:rPr>
      </w:pPr>
    </w:p>
    <w:p w:rsidR="00BF567E" w:rsidRDefault="00BF567E" w:rsidP="00BF567E">
      <w:pPr>
        <w:rPr>
          <w:spacing w:val="-2"/>
        </w:rPr>
      </w:pPr>
    </w:p>
    <w:p w:rsidR="00BF567E" w:rsidRDefault="00BF567E" w:rsidP="00BF567E">
      <w:pPr>
        <w:rPr>
          <w:spacing w:val="-2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75"/>
        <w:gridCol w:w="960"/>
        <w:gridCol w:w="68"/>
        <w:gridCol w:w="4012"/>
        <w:gridCol w:w="54"/>
        <w:gridCol w:w="1346"/>
        <w:gridCol w:w="3025"/>
      </w:tblGrid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30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</w:rPr>
            </w:pPr>
            <w:r w:rsidRPr="000A364C">
              <w:rPr>
                <w:rFonts w:ascii="Calibri" w:hAnsi="Calibri"/>
                <w:b/>
                <w:bCs/>
                <w:color w:val="000000"/>
              </w:rPr>
              <w:t>Income Statement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Period Ending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31-Dec-13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Revenue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148,239,000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COGS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118,094,000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Selling General and Administrative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13,384,000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Depreciation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72,000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Earnings Before Interest And Taxes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16,689,000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Interest Expense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829,000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Income Before Tax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15,860,000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Income Tax Expense (40%)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6,344,000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1028" w:type="dxa"/>
            <w:gridSpan w:val="2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Net Income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9,516,000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30"/>
        </w:trPr>
        <w:tc>
          <w:tcPr>
            <w:tcW w:w="6440" w:type="dxa"/>
            <w:gridSpan w:val="5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</w:rPr>
            </w:pPr>
            <w:r w:rsidRPr="000A364C">
              <w:rPr>
                <w:rFonts w:ascii="Calibri" w:hAnsi="Calibri"/>
                <w:b/>
                <w:bCs/>
                <w:color w:val="000000"/>
              </w:rPr>
              <w:t>Balance Sheet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0A364C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31-Dec-13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Assets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Current Assets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14,468,000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Net Receivables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98,359,000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Inventory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18,758,000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Current Assets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131,585,000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Property Plant and Equipment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70,441,000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Assets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202,026,000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Liabilities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Current Liabilities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Accounts Payable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22,446,500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Accruals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14,315,500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Notes Payable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3,631,000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Current Liabilities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40,393,000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Long Term Debt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134,919,000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6440" w:type="dxa"/>
            <w:gridSpan w:val="5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Liabilities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175,312,000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Stockholders' Equity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Common Stock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40,000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Retained Earnings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26,674,000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Stockholder Equity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26,714,000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567E" w:rsidRPr="000A364C" w:rsidTr="00870857">
        <w:trPr>
          <w:gridBefore w:val="1"/>
          <w:gridAfter w:val="1"/>
          <w:wBefore w:w="75" w:type="dxa"/>
          <w:wAfter w:w="3025" w:type="dxa"/>
          <w:trHeight w:val="315"/>
        </w:trPr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Assets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567E" w:rsidRPr="000A364C" w:rsidRDefault="00BF567E" w:rsidP="008708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36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202,026,000</w:t>
            </w:r>
          </w:p>
        </w:tc>
      </w:tr>
      <w:tr w:rsidR="00BF567E" w:rsidRPr="00103F36" w:rsidTr="00870857">
        <w:tblPrEx>
          <w:tblLook w:val="0000" w:firstRow="0" w:lastRow="0" w:firstColumn="0" w:lastColumn="0" w:noHBand="0" w:noVBand="0"/>
        </w:tblPrEx>
        <w:trPr>
          <w:trHeight w:hRule="exact" w:val="11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567E" w:rsidRPr="00103F36" w:rsidRDefault="00BF567E" w:rsidP="00870857">
            <w:pPr>
              <w:keepNext/>
              <w:keepLines/>
              <w:rPr>
                <w:spacing w:val="-2"/>
              </w:rPr>
            </w:pPr>
          </w:p>
        </w:tc>
      </w:tr>
    </w:tbl>
    <w:p w:rsidR="00BF567E" w:rsidRDefault="00BF567E" w:rsidP="00BF567E"/>
    <w:p w:rsidR="00BF567E" w:rsidRDefault="00BF567E" w:rsidP="00BF567E"/>
    <w:p w:rsidR="00BF567E" w:rsidRDefault="00BF567E" w:rsidP="00BF567E"/>
    <w:p w:rsidR="00BF567E" w:rsidRDefault="00BF567E" w:rsidP="00BF567E"/>
    <w:p w:rsidR="00BF567E" w:rsidRDefault="00BF567E" w:rsidP="00BF567E"/>
    <w:p w:rsidR="00BF567E" w:rsidRDefault="00BF567E" w:rsidP="00BF567E">
      <w:pPr>
        <w:spacing w:line="276" w:lineRule="auto"/>
      </w:pPr>
      <w:r>
        <w:br w:type="page"/>
      </w:r>
    </w:p>
    <w:p w:rsidR="00BF567E" w:rsidRDefault="00BF567E" w:rsidP="00BF567E">
      <w:r>
        <w:lastRenderedPageBreak/>
        <w:t>Question</w:t>
      </w:r>
      <w:r w:rsidR="009D7091">
        <w:t>/Problem</w:t>
      </w:r>
      <w:r>
        <w:t xml:space="preserve"> 1) (Worth 30 points)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current ratio?</w:t>
      </w:r>
    </w:p>
    <w:p w:rsidR="00BF567E" w:rsidRDefault="00514D33" w:rsidP="00BF567E">
      <w:pPr>
        <w:pStyle w:val="ListParagraph"/>
        <w:widowControl w:val="0"/>
        <w:numPr>
          <w:ilvl w:val="0"/>
          <w:numId w:val="2"/>
        </w:numPr>
      </w:pPr>
      <w:r>
        <w:t>What is the firm's days-</w:t>
      </w:r>
      <w:r w:rsidR="00BF567E" w:rsidRPr="00A41396">
        <w:t>sales</w:t>
      </w:r>
      <w:r>
        <w:t>-</w:t>
      </w:r>
      <w:r w:rsidR="00BF567E" w:rsidRPr="00A41396">
        <w:t>outstanding</w:t>
      </w:r>
      <w:r>
        <w:t xml:space="preserve"> (DSO)</w:t>
      </w:r>
      <w:r w:rsidR="00BF567E" w:rsidRPr="00A41396">
        <w:t>? Assume a 360-day year for this calculation.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total assets turnover?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inventory turnover ratio?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TIE?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ROA?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basic earning power?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ROE?</w:t>
      </w:r>
    </w:p>
    <w:p w:rsidR="00BF567E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P/E ratio?</w:t>
      </w:r>
    </w:p>
    <w:p w:rsidR="00BF567E" w:rsidRPr="00A41396" w:rsidRDefault="00BF567E" w:rsidP="00BF567E">
      <w:pPr>
        <w:pStyle w:val="ListParagraph"/>
        <w:widowControl w:val="0"/>
        <w:numPr>
          <w:ilvl w:val="0"/>
          <w:numId w:val="2"/>
        </w:numPr>
      </w:pPr>
      <w:r w:rsidRPr="00A41396">
        <w:t>What is the firm's market-to-book ratio?</w:t>
      </w:r>
    </w:p>
    <w:p w:rsidR="00BF567E" w:rsidRDefault="00BF567E" w:rsidP="00BF567E">
      <w:pPr>
        <w:spacing w:line="276" w:lineRule="auto"/>
      </w:pPr>
    </w:p>
    <w:p w:rsidR="00BF567E" w:rsidRPr="00103F36" w:rsidRDefault="00BF567E" w:rsidP="00BF567E">
      <w:r>
        <w:t>Question</w:t>
      </w:r>
      <w:r w:rsidR="009D7091">
        <w:t>/Problem</w:t>
      </w:r>
      <w:r>
        <w:t xml:space="preserve"> 2) (Worth 50 points)</w:t>
      </w:r>
    </w:p>
    <w:p w:rsidR="00BF567E" w:rsidRPr="00103F36" w:rsidRDefault="00BF567E" w:rsidP="00BF567E">
      <w:r w:rsidRPr="00103F36">
        <w:t>Calculate the additional or external funds needed if the firm is expecting a growth rate of 10% next year. The fir</w:t>
      </w:r>
      <w:r>
        <w:t>m</w:t>
      </w:r>
      <w:r w:rsidRPr="00103F36">
        <w:t xml:space="preserve"> is currently operating at 95% of capacity and the fixed assets can only by $1</w:t>
      </w:r>
      <w:r>
        <w:t>0</w:t>
      </w:r>
      <w:r w:rsidRPr="00103F36">
        <w:t>,</w:t>
      </w:r>
      <w:r>
        <w:t>00</w:t>
      </w:r>
      <w:r w:rsidRPr="00103F36">
        <w:t>0</w:t>
      </w:r>
      <w:r>
        <w:t>,000</w:t>
      </w:r>
      <w:r w:rsidRPr="00103F36">
        <w:t xml:space="preserve"> increments.</w:t>
      </w:r>
    </w:p>
    <w:p w:rsidR="00BF567E" w:rsidRPr="00103F36" w:rsidRDefault="00BF567E" w:rsidP="00BF567E"/>
    <w:p w:rsidR="00BF567E" w:rsidRDefault="00BF567E" w:rsidP="00BF567E">
      <w:r>
        <w:t>Question</w:t>
      </w:r>
      <w:r w:rsidR="009D7091">
        <w:t>/Problem</w:t>
      </w:r>
      <w:r>
        <w:t xml:space="preserve"> 3) (Worth 20 points)</w:t>
      </w:r>
    </w:p>
    <w:p w:rsidR="00BF567E" w:rsidRDefault="00BF567E" w:rsidP="00BF567E">
      <w:r>
        <w:t>Calculate the common size balance sheet and the common size income statement for the company.</w:t>
      </w:r>
    </w:p>
    <w:p w:rsidR="00BF567E" w:rsidRDefault="00BF567E" w:rsidP="00BF567E"/>
    <w:sectPr w:rsidR="00BF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9BF"/>
    <w:multiLevelType w:val="hybridMultilevel"/>
    <w:tmpl w:val="B01A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5313"/>
    <w:multiLevelType w:val="hybridMultilevel"/>
    <w:tmpl w:val="8F36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E"/>
    <w:rsid w:val="00400006"/>
    <w:rsid w:val="00514D33"/>
    <w:rsid w:val="009D7091"/>
    <w:rsid w:val="00B34D26"/>
    <w:rsid w:val="00B84116"/>
    <w:rsid w:val="00B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E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E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Korn/Ferry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Chehab</dc:creator>
  <cp:lastModifiedBy>Michael Brisco</cp:lastModifiedBy>
  <cp:revision>3</cp:revision>
  <dcterms:created xsi:type="dcterms:W3CDTF">2014-09-17T22:46:00Z</dcterms:created>
  <dcterms:modified xsi:type="dcterms:W3CDTF">2014-09-17T22:46:00Z</dcterms:modified>
</cp:coreProperties>
</file>