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DE" w:rsidRPr="007E5CDE" w:rsidRDefault="007E5CDE" w:rsidP="007E5CDE">
      <w:pPr>
        <w:autoSpaceDE w:val="0"/>
        <w:autoSpaceDN w:val="0"/>
        <w:adjustRightInd w:val="0"/>
        <w:spacing w:before="320" w:after="0" w:line="240" w:lineRule="auto"/>
        <w:ind w:left="180"/>
        <w:rPr>
          <w:rFonts w:ascii="Andale Sans for VST" w:eastAsiaTheme="minorEastAsia" w:hAnsi="Andale Sans for VST" w:cs="Andale Sans for VST"/>
          <w:sz w:val="32"/>
          <w:szCs w:val="32"/>
        </w:rPr>
      </w:pPr>
      <w:bookmarkStart w:id="0" w:name="_GoBack"/>
      <w:bookmarkEnd w:id="0"/>
      <w:r w:rsidRPr="007E5CDE">
        <w:rPr>
          <w:rFonts w:ascii="Andale Sans for VST" w:eastAsiaTheme="minorEastAsia" w:hAnsi="Andale Sans for VST" w:cs="Andale Sans for VST"/>
          <w:sz w:val="32"/>
          <w:szCs w:val="32"/>
        </w:rPr>
        <w:t>STANDARD DEVIATION</w:t>
      </w:r>
    </w:p>
    <w:p w:rsidR="007E5CDE" w:rsidRPr="007E5CDE" w:rsidRDefault="007E5CDE" w:rsidP="007E5CDE">
      <w:pPr>
        <w:autoSpaceDE w:val="0"/>
        <w:autoSpaceDN w:val="0"/>
        <w:adjustRightInd w:val="0"/>
        <w:spacing w:before="320" w:after="0" w:line="240" w:lineRule="auto"/>
        <w:ind w:left="360"/>
        <w:rPr>
          <w:rFonts w:ascii="Andale Sans for VST" w:eastAsiaTheme="minorEastAsia" w:hAnsi="Andale Sans for VST" w:cs="Andale Sans for VST"/>
          <w:sz w:val="32"/>
          <w:szCs w:val="32"/>
        </w:rPr>
      </w:pPr>
      <w:r w:rsidRPr="007E5CDE">
        <w:rPr>
          <w:rFonts w:ascii="Andale Sans for VST" w:eastAsiaTheme="minorEastAsia" w:hAnsi="Andale Sans for VST" w:cs="Andale Sans for VST"/>
          <w:sz w:val="32"/>
          <w:szCs w:val="32"/>
        </w:rPr>
        <w:t>STATISTICAL TECHNIQUE IN REVIEW</w:t>
      </w:r>
    </w:p>
    <w:p w:rsidR="007E5CDE" w:rsidRPr="007E5CDE" w:rsidRDefault="007E5CDE" w:rsidP="007E5CDE">
      <w:pPr>
        <w:autoSpaceDE w:val="0"/>
        <w:autoSpaceDN w:val="0"/>
        <w:adjustRightInd w:val="0"/>
        <w:spacing w:before="240" w:after="0" w:line="240" w:lineRule="auto"/>
        <w:ind w:left="360"/>
        <w:rPr>
          <w:rFonts w:ascii="Thorndale for VST" w:eastAsiaTheme="minorEastAsia" w:hAnsi="Thorndale for VST" w:cs="Thorndale for VST"/>
          <w:sz w:val="24"/>
          <w:szCs w:val="24"/>
        </w:rPr>
      </w:pPr>
      <w:r w:rsidRPr="007E5CDE">
        <w:rPr>
          <w:rFonts w:ascii="Thorndale for VST" w:eastAsiaTheme="minorEastAsia" w:hAnsi="Thorndale for VST" w:cs="Thorndale for VST"/>
          <w:sz w:val="24"/>
          <w:szCs w:val="24"/>
        </w:rPr>
        <w:t>The mean (</w:t>
      </w:r>
      <w:r>
        <w:rPr>
          <w:rFonts w:ascii="Thorndale for VST" w:eastAsiaTheme="minorEastAsia" w:hAnsi="Thorndale for VST" w:cs="Thorndale for VST"/>
          <w:noProof/>
          <w:sz w:val="24"/>
          <w:szCs w:val="24"/>
          <w:lang w:val="en-CA" w:eastAsia="en-CA"/>
        </w:rPr>
        <w:drawing>
          <wp:inline distT="0" distB="0" distL="0" distR="0">
            <wp:extent cx="11430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7E5CDE">
        <w:rPr>
          <w:rFonts w:ascii="Thorndale for VST" w:eastAsiaTheme="minorEastAsia" w:hAnsi="Thorndale for VST" w:cs="Thorndale for VST"/>
          <w:sz w:val="24"/>
          <w:szCs w:val="24"/>
        </w:rPr>
        <w:t xml:space="preserve">) is a measure of central tendency for a set of data and is the arithmetic average calculated for the data. (Please refer to </w:t>
      </w:r>
      <w:r w:rsidRPr="007E5CDE">
        <w:rPr>
          <w:rFonts w:ascii="Thorndale for VST" w:eastAsiaTheme="minorEastAsia" w:hAnsi="Thorndale for VST" w:cs="Thorndale for VST"/>
          <w:color w:val="0000FF"/>
          <w:sz w:val="24"/>
          <w:szCs w:val="24"/>
          <w:u w:val="single"/>
        </w:rPr>
        <w:t>Exercise 15</w:t>
      </w:r>
      <w:r w:rsidRPr="007E5CDE">
        <w:rPr>
          <w:rFonts w:ascii="Thorndale for VST" w:eastAsiaTheme="minorEastAsia" w:hAnsi="Thorndale for VST" w:cs="Thorndale for VST"/>
          <w:sz w:val="24"/>
          <w:szCs w:val="24"/>
        </w:rPr>
        <w:t xml:space="preserve"> for further information about the mean). The </w:t>
      </w:r>
      <w:r w:rsidRPr="007E5CDE">
        <w:rPr>
          <w:rFonts w:ascii="Thorndale for VST" w:eastAsiaTheme="minorEastAsia" w:hAnsi="Thorndale for VST" w:cs="Thorndale for VST"/>
          <w:b/>
          <w:bCs/>
          <w:sz w:val="24"/>
          <w:szCs w:val="24"/>
        </w:rPr>
        <w:t>standard deviation</w:t>
      </w:r>
      <w:r w:rsidRPr="007E5CDE">
        <w:rPr>
          <w:rFonts w:ascii="Thorndale for VST" w:eastAsiaTheme="minorEastAsia" w:hAnsi="Thorndale for VST" w:cs="Thorndale for VST"/>
          <w:sz w:val="24"/>
          <w:szCs w:val="24"/>
        </w:rPr>
        <w:t xml:space="preserve"> (</w:t>
      </w:r>
      <w:r w:rsidRPr="007E5CDE">
        <w:rPr>
          <w:rFonts w:ascii="Thorndale for VST" w:eastAsiaTheme="minorEastAsia" w:hAnsi="Thorndale for VST" w:cs="Thorndale for VST"/>
          <w:i/>
          <w:iCs/>
          <w:sz w:val="24"/>
          <w:szCs w:val="24"/>
        </w:rPr>
        <w:t>SD)</w:t>
      </w:r>
      <w:r w:rsidRPr="007E5CDE">
        <w:rPr>
          <w:rFonts w:ascii="Thorndale for VST" w:eastAsiaTheme="minorEastAsia" w:hAnsi="Thorndale for VST" w:cs="Thorndale for VST"/>
          <w:sz w:val="24"/>
          <w:szCs w:val="24"/>
        </w:rPr>
        <w:t xml:space="preserve"> is a measure of dispersion and is the average amount of points by which the scores of a distribution vary from the mean. When the scores of a distribution deviate from the mean considerably, the </w:t>
      </w:r>
      <w:r w:rsidRPr="007E5CDE">
        <w:rPr>
          <w:rFonts w:ascii="Thorndale for VST" w:eastAsiaTheme="minorEastAsia" w:hAnsi="Thorndale for VST" w:cs="Thorndale for VST"/>
          <w:i/>
          <w:iCs/>
          <w:sz w:val="24"/>
          <w:szCs w:val="24"/>
        </w:rPr>
        <w:t>SD</w:t>
      </w:r>
      <w:r w:rsidRPr="007E5CDE">
        <w:rPr>
          <w:rFonts w:ascii="Thorndale for VST" w:eastAsiaTheme="minorEastAsia" w:hAnsi="Thorndale for VST" w:cs="Thorndale for VST"/>
          <w:sz w:val="24"/>
          <w:szCs w:val="24"/>
        </w:rPr>
        <w:t xml:space="preserve"> or spread of scores is large. When the degree of deviation of scores from the mean is small, the </w:t>
      </w:r>
      <w:r w:rsidRPr="007E5CDE">
        <w:rPr>
          <w:rFonts w:ascii="Thorndale for VST" w:eastAsiaTheme="minorEastAsia" w:hAnsi="Thorndale for VST" w:cs="Thorndale for VST"/>
          <w:i/>
          <w:iCs/>
          <w:sz w:val="24"/>
          <w:szCs w:val="24"/>
        </w:rPr>
        <w:t>SD</w:t>
      </w:r>
      <w:r w:rsidRPr="007E5CDE">
        <w:rPr>
          <w:rFonts w:ascii="Thorndale for VST" w:eastAsiaTheme="minorEastAsia" w:hAnsi="Thorndale for VST" w:cs="Thorndale for VST"/>
          <w:sz w:val="24"/>
          <w:szCs w:val="24"/>
        </w:rPr>
        <w:t xml:space="preserve"> or spread of the scores is small. Both </w:t>
      </w:r>
      <w:proofErr w:type="gramStart"/>
      <w:r w:rsidRPr="007E5CDE">
        <w:rPr>
          <w:rFonts w:ascii="Thorndale for VST" w:eastAsiaTheme="minorEastAsia" w:hAnsi="Thorndale for VST" w:cs="Thorndale for VST"/>
          <w:sz w:val="24"/>
          <w:szCs w:val="24"/>
        </w:rPr>
        <w:t xml:space="preserve">the </w:t>
      </w:r>
      <w:r>
        <w:rPr>
          <w:rFonts w:ascii="Thorndale for VST" w:eastAsiaTheme="minorEastAsia" w:hAnsi="Thorndale for VST" w:cs="Thorndale for VST"/>
          <w:noProof/>
          <w:sz w:val="24"/>
          <w:szCs w:val="24"/>
          <w:lang w:val="en-CA" w:eastAsia="en-CA"/>
        </w:rPr>
        <w:drawing>
          <wp:inline distT="0" distB="0" distL="0" distR="0">
            <wp:extent cx="11430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7E5CDE">
        <w:rPr>
          <w:rFonts w:ascii="Thorndale for VST" w:eastAsiaTheme="minorEastAsia" w:hAnsi="Thorndale for VST" w:cs="Thorndale for VST"/>
          <w:sz w:val="24"/>
          <w:szCs w:val="24"/>
        </w:rPr>
        <w:t xml:space="preserve"> and</w:t>
      </w:r>
      <w:proofErr w:type="gramEnd"/>
      <w:r w:rsidRPr="007E5CDE">
        <w:rPr>
          <w:rFonts w:ascii="Thorndale for VST" w:eastAsiaTheme="minorEastAsia" w:hAnsi="Thorndale for VST" w:cs="Thorndale for VST"/>
          <w:sz w:val="24"/>
          <w:szCs w:val="24"/>
        </w:rPr>
        <w:t xml:space="preserve"> </w:t>
      </w:r>
      <w:r w:rsidRPr="007E5CDE">
        <w:rPr>
          <w:rFonts w:ascii="Thorndale for VST" w:eastAsiaTheme="minorEastAsia" w:hAnsi="Thorndale for VST" w:cs="Thorndale for VST"/>
          <w:i/>
          <w:iCs/>
          <w:sz w:val="24"/>
          <w:szCs w:val="24"/>
        </w:rPr>
        <w:t>SD</w:t>
      </w:r>
      <w:r w:rsidRPr="007E5CDE">
        <w:rPr>
          <w:rFonts w:ascii="Thorndale for VST" w:eastAsiaTheme="minorEastAsia" w:hAnsi="Thorndale for VST" w:cs="Thorndale for VST"/>
          <w:sz w:val="24"/>
          <w:szCs w:val="24"/>
        </w:rPr>
        <w:t xml:space="preserve"> are descriptive statistics calculated to describe study variables (Burns &amp; Grove, 2007).</w:t>
      </w:r>
    </w:p>
    <w:p w:rsidR="007E5CDE" w:rsidRPr="007E5CDE" w:rsidRDefault="007E5CDE" w:rsidP="007E5CDE">
      <w:pPr>
        <w:autoSpaceDE w:val="0"/>
        <w:autoSpaceDN w:val="0"/>
        <w:adjustRightInd w:val="0"/>
        <w:spacing w:before="320" w:after="0" w:line="240" w:lineRule="auto"/>
        <w:ind w:left="360"/>
        <w:rPr>
          <w:rFonts w:ascii="Andale Sans for VST" w:eastAsiaTheme="minorEastAsia" w:hAnsi="Andale Sans for VST" w:cs="Andale Sans for VST"/>
          <w:sz w:val="32"/>
          <w:szCs w:val="32"/>
        </w:rPr>
      </w:pPr>
      <w:r w:rsidRPr="007E5CDE">
        <w:rPr>
          <w:rFonts w:ascii="Andale Sans for VST" w:eastAsiaTheme="minorEastAsia" w:hAnsi="Andale Sans for VST" w:cs="Andale Sans for VST"/>
          <w:sz w:val="32"/>
          <w:szCs w:val="32"/>
        </w:rPr>
        <w:t>RESEARCH ARTICLE</w:t>
      </w:r>
    </w:p>
    <w:p w:rsidR="007E5CDE" w:rsidRPr="007E5CDE" w:rsidRDefault="007E5CDE" w:rsidP="007E5CDE">
      <w:pPr>
        <w:autoSpaceDE w:val="0"/>
        <w:autoSpaceDN w:val="0"/>
        <w:adjustRightInd w:val="0"/>
        <w:spacing w:before="240" w:after="0" w:line="240" w:lineRule="auto"/>
        <w:ind w:left="360"/>
        <w:rPr>
          <w:rFonts w:ascii="Thorndale for VST" w:eastAsiaTheme="minorEastAsia" w:hAnsi="Thorndale for VST" w:cs="Thorndale for VST"/>
          <w:sz w:val="24"/>
          <w:szCs w:val="24"/>
        </w:rPr>
      </w:pPr>
      <w:r>
        <w:rPr>
          <w:rFonts w:ascii="Thorndale for VST" w:eastAsiaTheme="minorEastAsia" w:hAnsi="Thorndale for VST" w:cs="Thorndale for VST"/>
          <w:noProof/>
          <w:sz w:val="24"/>
          <w:szCs w:val="24"/>
          <w:lang w:val="en-CA" w:eastAsia="en-CA"/>
        </w:rPr>
        <w:drawing>
          <wp:inline distT="0" distB="0" distL="0" distR="0">
            <wp:extent cx="41910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7E5CDE">
        <w:rPr>
          <w:rFonts w:ascii="Thorndale for VST" w:eastAsiaTheme="minorEastAsia" w:hAnsi="Thorndale for VST" w:cs="Thorndale for VST"/>
          <w:b/>
          <w:bCs/>
          <w:sz w:val="24"/>
          <w:szCs w:val="24"/>
        </w:rPr>
        <w:t>Source:</w:t>
      </w:r>
      <w:r w:rsidRPr="007E5CDE">
        <w:rPr>
          <w:rFonts w:ascii="Thorndale for VST" w:eastAsiaTheme="minorEastAsia" w:hAnsi="Thorndale for VST" w:cs="Thorndale for VST"/>
          <w:sz w:val="24"/>
          <w:szCs w:val="24"/>
        </w:rPr>
        <w:t xml:space="preserve"> </w:t>
      </w:r>
      <w:proofErr w:type="spellStart"/>
      <w:r w:rsidRPr="007E5CDE">
        <w:rPr>
          <w:rFonts w:ascii="Thorndale for VST" w:eastAsiaTheme="minorEastAsia" w:hAnsi="Thorndale for VST" w:cs="Thorndale for VST"/>
          <w:sz w:val="24"/>
          <w:szCs w:val="24"/>
        </w:rPr>
        <w:t>Tsay</w:t>
      </w:r>
      <w:proofErr w:type="spellEnd"/>
      <w:r w:rsidRPr="007E5CDE">
        <w:rPr>
          <w:rFonts w:ascii="Thorndale for VST" w:eastAsiaTheme="minorEastAsia" w:hAnsi="Thorndale for VST" w:cs="Thorndale for VST"/>
          <w:sz w:val="24"/>
          <w:szCs w:val="24"/>
        </w:rPr>
        <w:t xml:space="preserve">, S. L., &amp; Hung, L. O. (2004). Empowerment of patients with end-stage renal disease: A randomized controlled trial. </w:t>
      </w:r>
      <w:r w:rsidRPr="007E5CDE">
        <w:rPr>
          <w:rFonts w:ascii="Thorndale for VST" w:eastAsiaTheme="minorEastAsia" w:hAnsi="Thorndale for VST" w:cs="Thorndale for VST"/>
          <w:i/>
          <w:iCs/>
          <w:sz w:val="24"/>
          <w:szCs w:val="24"/>
        </w:rPr>
        <w:t>International Journal of Nursing Studies, 41</w:t>
      </w:r>
      <w:r w:rsidRPr="007E5CDE">
        <w:rPr>
          <w:rFonts w:ascii="Thorndale for VST" w:eastAsiaTheme="minorEastAsia" w:hAnsi="Thorndale for VST" w:cs="Thorndale for VST"/>
          <w:sz w:val="24"/>
          <w:szCs w:val="24"/>
        </w:rPr>
        <w:t xml:space="preserve"> (1), 59–65.</w:t>
      </w:r>
    </w:p>
    <w:p w:rsidR="007E5CDE" w:rsidRPr="007E5CDE" w:rsidRDefault="007E5CDE" w:rsidP="007E5CDE">
      <w:pPr>
        <w:autoSpaceDE w:val="0"/>
        <w:autoSpaceDN w:val="0"/>
        <w:adjustRightInd w:val="0"/>
        <w:spacing w:before="320" w:after="0" w:line="240" w:lineRule="auto"/>
        <w:ind w:left="540"/>
        <w:rPr>
          <w:rFonts w:ascii="Andale Sans for VST" w:eastAsiaTheme="minorEastAsia" w:hAnsi="Andale Sans for VST" w:cs="Andale Sans for VST"/>
          <w:sz w:val="32"/>
          <w:szCs w:val="32"/>
        </w:rPr>
      </w:pPr>
      <w:r w:rsidRPr="007E5CDE">
        <w:rPr>
          <w:rFonts w:ascii="Andale Sans for VST" w:eastAsiaTheme="minorEastAsia" w:hAnsi="Andale Sans for VST" w:cs="Andale Sans for VST"/>
          <w:sz w:val="32"/>
          <w:szCs w:val="32"/>
        </w:rPr>
        <w:t>Introduction</w:t>
      </w:r>
    </w:p>
    <w:p w:rsidR="007E5CDE" w:rsidRPr="007E5CDE" w:rsidRDefault="007E5CDE" w:rsidP="007E5CDE">
      <w:pPr>
        <w:autoSpaceDE w:val="0"/>
        <w:autoSpaceDN w:val="0"/>
        <w:adjustRightInd w:val="0"/>
        <w:spacing w:before="240" w:after="0" w:line="240" w:lineRule="auto"/>
        <w:ind w:left="540"/>
        <w:rPr>
          <w:rFonts w:ascii="Thorndale for VST" w:eastAsiaTheme="minorEastAsia" w:hAnsi="Thorndale for VST" w:cs="Thorndale for VST"/>
          <w:sz w:val="24"/>
          <w:szCs w:val="24"/>
        </w:rPr>
      </w:pPr>
      <w:proofErr w:type="spellStart"/>
      <w:r w:rsidRPr="007E5CDE">
        <w:rPr>
          <w:rFonts w:ascii="Thorndale for VST" w:eastAsiaTheme="minorEastAsia" w:hAnsi="Thorndale for VST" w:cs="Thorndale for VST"/>
          <w:sz w:val="24"/>
          <w:szCs w:val="24"/>
        </w:rPr>
        <w:t>Tsay</w:t>
      </w:r>
      <w:proofErr w:type="spellEnd"/>
      <w:r w:rsidRPr="007E5CDE">
        <w:rPr>
          <w:rFonts w:ascii="Thorndale for VST" w:eastAsiaTheme="minorEastAsia" w:hAnsi="Thorndale for VST" w:cs="Thorndale for VST"/>
          <w:sz w:val="24"/>
          <w:szCs w:val="24"/>
        </w:rPr>
        <w:t xml:space="preserve"> and Hung (2004) conducted a randomized controlled trial examining the effectiveness of an empowerment program on empowerment level, self-care self-efficacy, and depression in patients with end-stage renal disease (ESRD). The researchers used the Empowerment Scale, the Strategies Used by People to Promote Health Tool, and the Beck Depression Inventory to collect data from the patients on their level of empowerment, self-care self-efficacy, and depression, respectively. The scales were administered to both the control (</w:t>
      </w:r>
      <w:r w:rsidRPr="007E5CDE">
        <w:rPr>
          <w:rFonts w:ascii="Thorndale for VST" w:eastAsiaTheme="minorEastAsia" w:hAnsi="Thorndale for VST" w:cs="Thorndale for VST"/>
          <w:i/>
          <w:iCs/>
          <w:sz w:val="24"/>
          <w:szCs w:val="24"/>
        </w:rPr>
        <w:t>n</w:t>
      </w:r>
      <w:r w:rsidRPr="007E5CDE">
        <w:rPr>
          <w:rFonts w:ascii="Thorndale for VST" w:eastAsiaTheme="minorEastAsia" w:hAnsi="Thorndale for VST" w:cs="Thorndale for VST"/>
          <w:sz w:val="24"/>
          <w:szCs w:val="24"/>
        </w:rPr>
        <w:t xml:space="preserve"> = 25) and the experimental (</w:t>
      </w:r>
      <w:r w:rsidRPr="007E5CDE">
        <w:rPr>
          <w:rFonts w:ascii="Thorndale for VST" w:eastAsiaTheme="minorEastAsia" w:hAnsi="Thorndale for VST" w:cs="Thorndale for VST"/>
          <w:i/>
          <w:iCs/>
          <w:sz w:val="24"/>
          <w:szCs w:val="24"/>
        </w:rPr>
        <w:t>n</w:t>
      </w:r>
      <w:r w:rsidRPr="007E5CDE">
        <w:rPr>
          <w:rFonts w:ascii="Thorndale for VST" w:eastAsiaTheme="minorEastAsia" w:hAnsi="Thorndale for VST" w:cs="Thorndale for VST"/>
          <w:sz w:val="24"/>
          <w:szCs w:val="24"/>
        </w:rPr>
        <w:t xml:space="preserve"> = 25) groups at baseline and 6 weeks after the program was completed. The control group, experimental group, and total sample's empowerment, self-care self-efficacy, and depression baseline and posttest means and standard deviations are presented in </w:t>
      </w:r>
      <w:r w:rsidRPr="007E5CDE">
        <w:rPr>
          <w:rFonts w:ascii="Thorndale for VST" w:eastAsiaTheme="minorEastAsia" w:hAnsi="Thorndale for VST" w:cs="Thorndale for VST"/>
          <w:color w:val="0000FF"/>
          <w:sz w:val="24"/>
          <w:szCs w:val="24"/>
          <w:u w:val="single"/>
        </w:rPr>
        <w:t>Table 2 on p. 118</w:t>
      </w:r>
      <w:r w:rsidRPr="007E5CDE">
        <w:rPr>
          <w:rFonts w:ascii="Thorndale for VST" w:eastAsiaTheme="minorEastAsia" w:hAnsi="Thorndale for VST" w:cs="Thorndale for VST"/>
          <w:sz w:val="24"/>
          <w:szCs w:val="24"/>
        </w:rPr>
        <w:t>.</w:t>
      </w:r>
    </w:p>
    <w:p w:rsidR="007E5CDE" w:rsidRPr="007E5CDE" w:rsidRDefault="007E5CDE" w:rsidP="007E5CDE">
      <w:pPr>
        <w:autoSpaceDE w:val="0"/>
        <w:autoSpaceDN w:val="0"/>
        <w:adjustRightInd w:val="0"/>
        <w:spacing w:after="0" w:line="240" w:lineRule="auto"/>
        <w:ind w:left="720"/>
        <w:rPr>
          <w:rFonts w:ascii="Andale Sans for VST" w:eastAsiaTheme="minorEastAsia" w:hAnsi="Andale Sans for VST" w:cs="Andale Sans for VST"/>
          <w:sz w:val="32"/>
          <w:szCs w:val="32"/>
        </w:rPr>
      </w:pPr>
      <w:r w:rsidRPr="007E5CDE">
        <w:rPr>
          <w:rFonts w:ascii="Andale Sans for VST" w:eastAsiaTheme="minorEastAsia" w:hAnsi="Andale Sans for VST" w:cs="Andale Sans for VST"/>
          <w:sz w:val="32"/>
          <w:szCs w:val="32"/>
        </w:rPr>
        <w:t>Relevant Study Results</w:t>
      </w:r>
    </w:p>
    <w:p w:rsidR="007E5CDE" w:rsidRPr="007E5CDE" w:rsidRDefault="007E5CDE" w:rsidP="007E5CDE">
      <w:pPr>
        <w:autoSpaceDE w:val="0"/>
        <w:autoSpaceDN w:val="0"/>
        <w:adjustRightInd w:val="0"/>
        <w:spacing w:before="240" w:after="0" w:line="240" w:lineRule="auto"/>
        <w:ind w:left="720"/>
        <w:rPr>
          <w:rFonts w:ascii="Thorndale for VST" w:eastAsiaTheme="minorEastAsia" w:hAnsi="Thorndale for VST" w:cs="Thorndale for VST"/>
          <w:sz w:val="24"/>
          <w:szCs w:val="24"/>
        </w:rPr>
      </w:pPr>
      <w:r w:rsidRPr="007E5CDE">
        <w:rPr>
          <w:rFonts w:ascii="Thorndale for VST" w:eastAsiaTheme="minorEastAsia" w:hAnsi="Thorndale for VST" w:cs="Thorndale for VST"/>
          <w:sz w:val="24"/>
          <w:szCs w:val="24"/>
        </w:rPr>
        <w:t xml:space="preserve">“The sample consisted of 50 hemodialysis patients. … Mean perceived renal disease severity was moderately severe (mean = 6.74, </w:t>
      </w:r>
      <w:r w:rsidRPr="007E5CDE">
        <w:rPr>
          <w:rFonts w:ascii="Thorndale for VST" w:eastAsiaTheme="minorEastAsia" w:hAnsi="Thorndale for VST" w:cs="Thorndale for VST"/>
          <w:i/>
          <w:iCs/>
          <w:sz w:val="24"/>
          <w:szCs w:val="24"/>
        </w:rPr>
        <w:t>SD</w:t>
      </w:r>
      <w:r w:rsidRPr="007E5CDE">
        <w:rPr>
          <w:rFonts w:ascii="Thorndale for VST" w:eastAsiaTheme="minorEastAsia" w:hAnsi="Thorndale for VST" w:cs="Thorndale for VST"/>
          <w:sz w:val="24"/>
          <w:szCs w:val="24"/>
        </w:rPr>
        <w:t xml:space="preserve"> = 2.97, range = 0–10), and the mean length of dialysis was 52.56 months (</w:t>
      </w:r>
      <w:r w:rsidRPr="007E5CDE">
        <w:rPr>
          <w:rFonts w:ascii="Thorndale for VST" w:eastAsiaTheme="minorEastAsia" w:hAnsi="Thorndale for VST" w:cs="Thorndale for VST"/>
          <w:i/>
          <w:iCs/>
          <w:sz w:val="24"/>
          <w:szCs w:val="24"/>
        </w:rPr>
        <w:t>SD</w:t>
      </w:r>
      <w:r w:rsidRPr="007E5CDE">
        <w:rPr>
          <w:rFonts w:ascii="Thorndale for VST" w:eastAsiaTheme="minorEastAsia" w:hAnsi="Thorndale for VST" w:cs="Thorndale for VST"/>
          <w:sz w:val="24"/>
          <w:szCs w:val="24"/>
        </w:rPr>
        <w:t xml:space="preserve"> = 36.51). There were no differences in clinical and demographic characteristics of the patients between the groups (</w:t>
      </w:r>
      <w:r w:rsidRPr="007E5CDE">
        <w:rPr>
          <w:rFonts w:ascii="Thorndale for VST" w:eastAsiaTheme="minorEastAsia" w:hAnsi="Thorndale for VST" w:cs="Thorndale for VST"/>
          <w:i/>
          <w:iCs/>
          <w:sz w:val="24"/>
          <w:szCs w:val="24"/>
        </w:rPr>
        <w:t>p</w:t>
      </w:r>
      <w:r w:rsidRPr="007E5CDE">
        <w:rPr>
          <w:rFonts w:ascii="Thorndale for VST" w:eastAsiaTheme="minorEastAsia" w:hAnsi="Thorndale for VST" w:cs="Thorndale for VST"/>
          <w:sz w:val="24"/>
          <w:szCs w:val="24"/>
        </w:rPr>
        <w:t xml:space="preserve"> &lt;0.05). The data indicates homogeneity of subjects across the groups” (</w:t>
      </w:r>
      <w:proofErr w:type="spellStart"/>
      <w:r w:rsidRPr="007E5CDE">
        <w:rPr>
          <w:rFonts w:ascii="Thorndale for VST" w:eastAsiaTheme="minorEastAsia" w:hAnsi="Thorndale for VST" w:cs="Thorndale for VST"/>
          <w:sz w:val="24"/>
          <w:szCs w:val="24"/>
        </w:rPr>
        <w:t>Tsay</w:t>
      </w:r>
      <w:proofErr w:type="spellEnd"/>
      <w:r w:rsidRPr="007E5CDE">
        <w:rPr>
          <w:rFonts w:ascii="Thorndale for VST" w:eastAsiaTheme="minorEastAsia" w:hAnsi="Thorndale for VST" w:cs="Thorndale for VST"/>
          <w:sz w:val="24"/>
          <w:szCs w:val="24"/>
        </w:rPr>
        <w:t xml:space="preserve"> &amp; Hung, 2004, p. 61). “This study found that there were significant differences in improvement of empowerment, self-care self-efficacy, and depression in patients who were in the intervention group using empowerment strategies than with the control group patients. …The results from </w:t>
      </w:r>
      <w:r w:rsidRPr="007E5CDE">
        <w:rPr>
          <w:rFonts w:ascii="Thorndale for VST" w:eastAsiaTheme="minorEastAsia" w:hAnsi="Thorndale for VST" w:cs="Thorndale for VST"/>
          <w:sz w:val="24"/>
          <w:szCs w:val="24"/>
        </w:rPr>
        <w:lastRenderedPageBreak/>
        <w:t>this study suggest that empowerment techniques might have an important role for patients in self-management of ESRD. … The study provides a foundation for future studies of empowerment interventions for self-managing of ESRD patients” (</w:t>
      </w:r>
      <w:proofErr w:type="spellStart"/>
      <w:r w:rsidRPr="007E5CDE">
        <w:rPr>
          <w:rFonts w:ascii="Thorndale for VST" w:eastAsiaTheme="minorEastAsia" w:hAnsi="Thorndale for VST" w:cs="Thorndale for VST"/>
          <w:sz w:val="24"/>
          <w:szCs w:val="24"/>
        </w:rPr>
        <w:t>Tsay</w:t>
      </w:r>
      <w:proofErr w:type="spellEnd"/>
      <w:r w:rsidRPr="007E5CDE">
        <w:rPr>
          <w:rFonts w:ascii="Thorndale for VST" w:eastAsiaTheme="minorEastAsia" w:hAnsi="Thorndale for VST" w:cs="Thorndale for VST"/>
          <w:sz w:val="24"/>
          <w:szCs w:val="24"/>
        </w:rPr>
        <w:t xml:space="preserve"> &amp; Hung, 2004, pp. 63–4).</w:t>
      </w:r>
    </w:p>
    <w:p w:rsidR="006E6B78" w:rsidRDefault="00EB0D3F">
      <w:r w:rsidRPr="00EB0D3F">
        <w:rPr>
          <w:noProof/>
          <w:lang w:val="en-CA" w:eastAsia="en-CA"/>
        </w:rPr>
        <w:drawing>
          <wp:inline distT="0" distB="0" distL="0" distR="0">
            <wp:extent cx="5943600" cy="459041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4590415"/>
                    </a:xfrm>
                    <a:prstGeom prst="rect">
                      <a:avLst/>
                    </a:prstGeom>
                  </pic:spPr>
                </pic:pic>
              </a:graphicData>
            </a:graphic>
          </wp:inline>
        </w:drawing>
      </w:r>
    </w:p>
    <w:sectPr w:rsidR="006E6B78" w:rsidSect="008E67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for VST">
    <w:altName w:val="Segoe UI"/>
    <w:charset w:val="00"/>
    <w:family w:val="swiss"/>
    <w:pitch w:val="variable"/>
    <w:sig w:usb0="00000001" w:usb1="000004E8" w:usb2="00000000" w:usb3="00000000" w:csb0="00000003" w:csb1="00000000"/>
  </w:font>
  <w:font w:name="Thorndale for VST">
    <w:altName w:val="Times New Roman"/>
    <w:charset w:val="00"/>
    <w:family w:val="roman"/>
    <w:pitch w:val="variable"/>
    <w:sig w:usb0="00000001" w:usb1="000004E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DE"/>
    <w:rsid w:val="001E2A55"/>
    <w:rsid w:val="005B214A"/>
    <w:rsid w:val="006E6B78"/>
    <w:rsid w:val="007E5CDE"/>
    <w:rsid w:val="00EB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D9BA1-1D0C-4499-98AE-2142A6EA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Eagleville Hospital</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 Raycraft</cp:lastModifiedBy>
  <cp:revision>2</cp:revision>
  <dcterms:created xsi:type="dcterms:W3CDTF">2014-09-07T23:53:00Z</dcterms:created>
  <dcterms:modified xsi:type="dcterms:W3CDTF">2014-09-07T23:53:00Z</dcterms:modified>
</cp:coreProperties>
</file>