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0D" w:rsidRPr="0087200D" w:rsidRDefault="0087200D" w:rsidP="0087200D">
      <w:pPr>
        <w:shd w:val="clear" w:color="auto" w:fill="EEEEEE"/>
        <w:spacing w:before="100" w:beforeAutospacing="1" w:after="240" w:line="240" w:lineRule="auto"/>
        <w:rPr>
          <w:rFonts w:ascii="Georgia" w:eastAsia="Times New Roman" w:hAnsi="Georgia" w:cs="Arial"/>
          <w:color w:val="000000"/>
          <w:sz w:val="29"/>
          <w:szCs w:val="29"/>
        </w:rPr>
      </w:pPr>
      <w:r w:rsidRPr="0087200D">
        <w:rPr>
          <w:rFonts w:ascii="Georgia" w:eastAsia="Times New Roman" w:hAnsi="Georgia" w:cs="Arial"/>
          <w:color w:val="000000"/>
          <w:sz w:val="29"/>
          <w:szCs w:val="29"/>
        </w:rPr>
        <w:t>While I found it very interesting to focus on a specific aspect of financial accounting that is not clear-cut, the conclusive determination that contingency liabilities must be properly valued is quite compelling.  As our courts have gone about slicing up the merits that distinguish between what is reasonable suspicion and probable cause, so I was able to compare to the concepts here with probable and possible definitions. </w:t>
      </w:r>
    </w:p>
    <w:p w:rsidR="0087200D" w:rsidRPr="0087200D" w:rsidRDefault="0087200D" w:rsidP="0087200D">
      <w:pPr>
        <w:shd w:val="clear" w:color="auto" w:fill="EEEEEE"/>
        <w:spacing w:before="100" w:beforeAutospacing="1" w:after="240" w:line="240" w:lineRule="auto"/>
        <w:rPr>
          <w:rFonts w:ascii="Georgia" w:eastAsia="Times New Roman" w:hAnsi="Georgia" w:cs="Arial"/>
          <w:color w:val="000000"/>
          <w:sz w:val="29"/>
          <w:szCs w:val="29"/>
        </w:rPr>
      </w:pPr>
      <w:r w:rsidRPr="0087200D">
        <w:rPr>
          <w:rFonts w:ascii="Georgia" w:eastAsia="Times New Roman" w:hAnsi="Georgia" w:cs="Arial"/>
          <w:color w:val="000000"/>
          <w:sz w:val="29"/>
          <w:szCs w:val="29"/>
        </w:rPr>
        <w:t>The website accountingcoach.com generally describes the topic as:</w:t>
      </w:r>
    </w:p>
    <w:p w:rsidR="0087200D" w:rsidRPr="0087200D" w:rsidRDefault="0087200D" w:rsidP="0087200D">
      <w:pPr>
        <w:shd w:val="clear" w:color="auto" w:fill="EEEEEE"/>
        <w:spacing w:before="100" w:beforeAutospacing="1" w:after="240" w:line="240" w:lineRule="auto"/>
        <w:rPr>
          <w:rFonts w:ascii="Georgia" w:eastAsia="Times New Roman" w:hAnsi="Georgia" w:cs="Arial"/>
          <w:color w:val="000000"/>
          <w:sz w:val="29"/>
          <w:szCs w:val="29"/>
        </w:rPr>
      </w:pPr>
      <w:r w:rsidRPr="0087200D">
        <w:rPr>
          <w:rFonts w:ascii="Helvetica" w:eastAsia="Times New Roman" w:hAnsi="Helvetica" w:cs="Helvetica"/>
          <w:color w:val="333333"/>
          <w:sz w:val="19"/>
          <w:szCs w:val="19"/>
          <w:lang w:val="en"/>
        </w:rPr>
        <w:t xml:space="preserve">In </w:t>
      </w:r>
      <w:hyperlink r:id="rId5" w:history="1">
        <w:r w:rsidRPr="0087200D">
          <w:rPr>
            <w:rFonts w:ascii="Helvetica" w:eastAsia="Times New Roman" w:hAnsi="Helvetica" w:cs="Helvetica"/>
            <w:color w:val="0000FF"/>
            <w:sz w:val="19"/>
            <w:szCs w:val="19"/>
            <w:u w:val="single"/>
            <w:lang w:val="en"/>
          </w:rPr>
          <w:t>accounting</w:t>
        </w:r>
      </w:hyperlink>
      <w:r w:rsidRPr="0087200D">
        <w:rPr>
          <w:rFonts w:ascii="Helvetica" w:eastAsia="Times New Roman" w:hAnsi="Helvetica" w:cs="Helvetica"/>
          <w:color w:val="333333"/>
          <w:sz w:val="19"/>
          <w:szCs w:val="19"/>
          <w:lang w:val="en"/>
        </w:rPr>
        <w:t xml:space="preserve">, a contingent liability and the related contingent loss are recorded with a journal entry only if the contingency is both </w:t>
      </w:r>
      <w:r w:rsidRPr="0087200D">
        <w:rPr>
          <w:rFonts w:ascii="Helvetica" w:eastAsia="Times New Roman" w:hAnsi="Helvetica" w:cs="Helvetica"/>
          <w:i/>
          <w:iCs/>
          <w:color w:val="333333"/>
          <w:sz w:val="19"/>
          <w:szCs w:val="19"/>
          <w:lang w:val="en"/>
        </w:rPr>
        <w:t>probable</w:t>
      </w:r>
      <w:r w:rsidRPr="0087200D">
        <w:rPr>
          <w:rFonts w:ascii="Helvetica" w:eastAsia="Times New Roman" w:hAnsi="Helvetica" w:cs="Helvetica"/>
          <w:color w:val="333333"/>
          <w:sz w:val="19"/>
          <w:szCs w:val="19"/>
          <w:lang w:val="en"/>
        </w:rPr>
        <w:t xml:space="preserve"> </w:t>
      </w:r>
      <w:r w:rsidRPr="0087200D">
        <w:rPr>
          <w:rFonts w:ascii="Helvetica" w:eastAsia="Times New Roman" w:hAnsi="Helvetica" w:cs="Helvetica"/>
          <w:b/>
          <w:bCs/>
          <w:color w:val="333333"/>
          <w:sz w:val="19"/>
          <w:szCs w:val="19"/>
          <w:lang w:val="en"/>
        </w:rPr>
        <w:t>and</w:t>
      </w:r>
      <w:r w:rsidRPr="0087200D">
        <w:rPr>
          <w:rFonts w:ascii="Helvetica" w:eastAsia="Times New Roman" w:hAnsi="Helvetica" w:cs="Helvetica"/>
          <w:color w:val="333333"/>
          <w:sz w:val="19"/>
          <w:szCs w:val="19"/>
          <w:lang w:val="en"/>
        </w:rPr>
        <w:t xml:space="preserve"> the </w:t>
      </w:r>
      <w:r w:rsidRPr="0087200D">
        <w:rPr>
          <w:rFonts w:ascii="Helvetica" w:eastAsia="Times New Roman" w:hAnsi="Helvetica" w:cs="Helvetica"/>
          <w:i/>
          <w:iCs/>
          <w:color w:val="333333"/>
          <w:sz w:val="19"/>
          <w:szCs w:val="19"/>
          <w:lang w:val="en"/>
        </w:rPr>
        <w:t>amount can be estimated</w:t>
      </w:r>
      <w:r w:rsidRPr="0087200D">
        <w:rPr>
          <w:rFonts w:ascii="Helvetica" w:eastAsia="Times New Roman" w:hAnsi="Helvetica" w:cs="Helvetica"/>
          <w:color w:val="333333"/>
          <w:sz w:val="19"/>
          <w:szCs w:val="19"/>
          <w:lang w:val="en"/>
        </w:rPr>
        <w:t>.</w:t>
      </w:r>
      <w:r w:rsidRPr="0087200D">
        <w:rPr>
          <w:rFonts w:ascii="Helvetica" w:eastAsia="Times New Roman" w:hAnsi="Helvetica" w:cs="Helvetica"/>
          <w:color w:val="333333"/>
          <w:sz w:val="19"/>
          <w:szCs w:val="19"/>
          <w:lang w:val="en"/>
        </w:rPr>
        <w:br/>
      </w:r>
      <w:r w:rsidRPr="0087200D">
        <w:rPr>
          <w:rFonts w:ascii="Helvetica" w:eastAsia="Times New Roman" w:hAnsi="Helvetica" w:cs="Helvetica"/>
          <w:color w:val="333333"/>
          <w:sz w:val="19"/>
          <w:szCs w:val="19"/>
          <w:lang w:val="en"/>
        </w:rPr>
        <w:br/>
        <w:t xml:space="preserve">If a contingent liability is only </w:t>
      </w:r>
      <w:r w:rsidRPr="0087200D">
        <w:rPr>
          <w:rFonts w:ascii="Helvetica" w:eastAsia="Times New Roman" w:hAnsi="Helvetica" w:cs="Helvetica"/>
          <w:i/>
          <w:iCs/>
          <w:color w:val="333333"/>
          <w:sz w:val="19"/>
          <w:szCs w:val="19"/>
          <w:lang w:val="en"/>
        </w:rPr>
        <w:t>possible</w:t>
      </w:r>
      <w:r w:rsidRPr="0087200D">
        <w:rPr>
          <w:rFonts w:ascii="Helvetica" w:eastAsia="Times New Roman" w:hAnsi="Helvetica" w:cs="Helvetica"/>
          <w:color w:val="333333"/>
          <w:sz w:val="19"/>
          <w:szCs w:val="19"/>
          <w:lang w:val="en"/>
        </w:rPr>
        <w:t xml:space="preserve"> (not probable), or if the amount cannot be estimated, a journal entry is not required. However, a disclosure is required.</w:t>
      </w:r>
      <w:r w:rsidRPr="0087200D">
        <w:rPr>
          <w:rFonts w:ascii="Helvetica" w:eastAsia="Times New Roman" w:hAnsi="Helvetica" w:cs="Helvetica"/>
          <w:color w:val="333333"/>
          <w:sz w:val="19"/>
          <w:szCs w:val="19"/>
          <w:lang w:val="en"/>
        </w:rPr>
        <w:br/>
      </w:r>
      <w:r w:rsidRPr="0087200D">
        <w:rPr>
          <w:rFonts w:ascii="Helvetica" w:eastAsia="Times New Roman" w:hAnsi="Helvetica" w:cs="Helvetica"/>
          <w:color w:val="333333"/>
          <w:sz w:val="19"/>
          <w:szCs w:val="19"/>
          <w:lang w:val="en"/>
        </w:rPr>
        <w:br/>
      </w:r>
      <w:proofErr w:type="gramStart"/>
      <w:r w:rsidRPr="0087200D">
        <w:rPr>
          <w:rFonts w:ascii="Helvetica" w:eastAsia="Times New Roman" w:hAnsi="Helvetica" w:cs="Helvetica"/>
          <w:color w:val="333333"/>
          <w:sz w:val="19"/>
          <w:szCs w:val="19"/>
          <w:lang w:val="en"/>
        </w:rPr>
        <w:t xml:space="preserve">When a contingent liability is </w:t>
      </w:r>
      <w:r w:rsidRPr="0087200D">
        <w:rPr>
          <w:rFonts w:ascii="Helvetica" w:eastAsia="Times New Roman" w:hAnsi="Helvetica" w:cs="Helvetica"/>
          <w:i/>
          <w:iCs/>
          <w:color w:val="333333"/>
          <w:sz w:val="19"/>
          <w:szCs w:val="19"/>
          <w:lang w:val="en"/>
        </w:rPr>
        <w:t>remote</w:t>
      </w:r>
      <w:r w:rsidRPr="0087200D">
        <w:rPr>
          <w:rFonts w:ascii="Helvetica" w:eastAsia="Times New Roman" w:hAnsi="Helvetica" w:cs="Helvetica"/>
          <w:color w:val="333333"/>
          <w:sz w:val="19"/>
          <w:szCs w:val="19"/>
          <w:lang w:val="en"/>
        </w:rPr>
        <w:t xml:space="preserve"> (such as a nuisance suit), then neither a </w:t>
      </w:r>
      <w:hyperlink r:id="rId6" w:history="1">
        <w:r w:rsidRPr="0087200D">
          <w:rPr>
            <w:rFonts w:ascii="Helvetica" w:eastAsia="Times New Roman" w:hAnsi="Helvetica" w:cs="Helvetica"/>
            <w:color w:val="0000FF"/>
            <w:sz w:val="19"/>
            <w:szCs w:val="19"/>
            <w:u w:val="single"/>
            <w:lang w:val="en"/>
          </w:rPr>
          <w:t>journal</w:t>
        </w:r>
      </w:hyperlink>
      <w:r w:rsidRPr="0087200D">
        <w:rPr>
          <w:rFonts w:ascii="Helvetica" w:eastAsia="Times New Roman" w:hAnsi="Helvetica" w:cs="Helvetica"/>
          <w:color w:val="333333"/>
          <w:sz w:val="19"/>
          <w:szCs w:val="19"/>
          <w:lang w:val="en"/>
        </w:rPr>
        <w:t xml:space="preserve"> nor a disclosure is required.</w:t>
      </w:r>
      <w:proofErr w:type="gramEnd"/>
      <w:r w:rsidRPr="0087200D">
        <w:rPr>
          <w:rFonts w:ascii="Georgia" w:eastAsia="Times New Roman" w:hAnsi="Georgia" w:cs="Arial"/>
          <w:color w:val="000000"/>
          <w:sz w:val="29"/>
          <w:szCs w:val="29"/>
        </w:rPr>
        <w:t> </w:t>
      </w:r>
    </w:p>
    <w:p w:rsidR="0087200D" w:rsidRPr="0087200D" w:rsidRDefault="0087200D" w:rsidP="0087200D">
      <w:pPr>
        <w:shd w:val="clear" w:color="auto" w:fill="EEEEEE"/>
        <w:spacing w:before="100" w:beforeAutospacing="1" w:line="240" w:lineRule="auto"/>
        <w:rPr>
          <w:rFonts w:ascii="Georgia" w:eastAsia="Times New Roman" w:hAnsi="Georgia" w:cs="Arial"/>
          <w:color w:val="000000"/>
          <w:sz w:val="29"/>
          <w:szCs w:val="29"/>
        </w:rPr>
      </w:pPr>
      <w:r w:rsidRPr="0087200D">
        <w:rPr>
          <w:rFonts w:ascii="Georgia" w:eastAsia="Times New Roman" w:hAnsi="Georgia" w:cs="Arial"/>
          <w:color w:val="000000"/>
          <w:sz w:val="29"/>
          <w:szCs w:val="29"/>
        </w:rPr>
        <w:t>Although these seem like very reasonable and understandable terms, what one entity decides is probable might be deemed possible by another.  Just as something may be thought of as plausible rather than probable, the specificity of these standards are not to be taken lightly.  Couple the liability with the need to reasonably estimate the value/amount and the disclosure versus journal entry issue seems to demand strong ethical practice.</w:t>
      </w:r>
    </w:p>
    <w:p w:rsidR="00E03D91" w:rsidRDefault="00E03D91">
      <w:bookmarkStart w:id="0" w:name="_GoBack"/>
      <w:bookmarkEnd w:id="0"/>
    </w:p>
    <w:sectPr w:rsidR="00E0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D"/>
    <w:rsid w:val="0087200D"/>
    <w:rsid w:val="00E0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00D"/>
    <w:rPr>
      <w:i/>
      <w:iCs/>
    </w:rPr>
  </w:style>
  <w:style w:type="character" w:styleId="Strong">
    <w:name w:val="Strong"/>
    <w:basedOn w:val="DefaultParagraphFont"/>
    <w:uiPriority w:val="22"/>
    <w:qFormat/>
    <w:rsid w:val="008720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00D"/>
    <w:rPr>
      <w:i/>
      <w:iCs/>
    </w:rPr>
  </w:style>
  <w:style w:type="character" w:styleId="Strong">
    <w:name w:val="Strong"/>
    <w:basedOn w:val="DefaultParagraphFont"/>
    <w:uiPriority w:val="22"/>
    <w:qFormat/>
    <w:rsid w:val="00872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49542">
      <w:bodyDiv w:val="1"/>
      <w:marLeft w:val="0"/>
      <w:marRight w:val="0"/>
      <w:marTop w:val="0"/>
      <w:marBottom w:val="0"/>
      <w:divBdr>
        <w:top w:val="none" w:sz="0" w:space="0" w:color="auto"/>
        <w:left w:val="none" w:sz="0" w:space="0" w:color="auto"/>
        <w:bottom w:val="none" w:sz="0" w:space="0" w:color="auto"/>
        <w:right w:val="none" w:sz="0" w:space="0" w:color="auto"/>
      </w:divBdr>
      <w:divsChild>
        <w:div w:id="515265495">
          <w:marLeft w:val="0"/>
          <w:marRight w:val="0"/>
          <w:marTop w:val="180"/>
          <w:marBottom w:val="0"/>
          <w:divBdr>
            <w:top w:val="none" w:sz="0" w:space="0" w:color="auto"/>
            <w:left w:val="none" w:sz="0" w:space="0" w:color="auto"/>
            <w:bottom w:val="none" w:sz="0" w:space="0" w:color="auto"/>
            <w:right w:val="none" w:sz="0" w:space="0" w:color="auto"/>
          </w:divBdr>
          <w:divsChild>
            <w:div w:id="1696345986">
              <w:marLeft w:val="3330"/>
              <w:marRight w:val="180"/>
              <w:marTop w:val="0"/>
              <w:marBottom w:val="0"/>
              <w:divBdr>
                <w:top w:val="none" w:sz="0" w:space="0" w:color="auto"/>
                <w:left w:val="none" w:sz="0" w:space="0" w:color="auto"/>
                <w:bottom w:val="none" w:sz="0" w:space="0" w:color="auto"/>
                <w:right w:val="none" w:sz="0" w:space="0" w:color="auto"/>
              </w:divBdr>
              <w:divsChild>
                <w:div w:id="1370373394">
                  <w:marLeft w:val="0"/>
                  <w:marRight w:val="0"/>
                  <w:marTop w:val="0"/>
                  <w:marBottom w:val="0"/>
                  <w:divBdr>
                    <w:top w:val="none" w:sz="0" w:space="0" w:color="auto"/>
                    <w:left w:val="none" w:sz="0" w:space="0" w:color="auto"/>
                    <w:bottom w:val="none" w:sz="0" w:space="0" w:color="auto"/>
                    <w:right w:val="none" w:sz="0" w:space="0" w:color="auto"/>
                  </w:divBdr>
                  <w:divsChild>
                    <w:div w:id="1518739550">
                      <w:marLeft w:val="0"/>
                      <w:marRight w:val="0"/>
                      <w:marTop w:val="0"/>
                      <w:marBottom w:val="0"/>
                      <w:divBdr>
                        <w:top w:val="none" w:sz="0" w:space="0" w:color="auto"/>
                        <w:left w:val="none" w:sz="0" w:space="0" w:color="auto"/>
                        <w:bottom w:val="none" w:sz="0" w:space="0" w:color="auto"/>
                        <w:right w:val="none" w:sz="0" w:space="0" w:color="auto"/>
                      </w:divBdr>
                      <w:divsChild>
                        <w:div w:id="219098634">
                          <w:marLeft w:val="0"/>
                          <w:marRight w:val="0"/>
                          <w:marTop w:val="0"/>
                          <w:marBottom w:val="0"/>
                          <w:divBdr>
                            <w:top w:val="single" w:sz="6" w:space="0" w:color="AAAAAA"/>
                            <w:left w:val="single" w:sz="6" w:space="0" w:color="AAAAAA"/>
                            <w:bottom w:val="single" w:sz="6" w:space="0" w:color="AAAAAA"/>
                            <w:right w:val="single" w:sz="6" w:space="0" w:color="AAAAAA"/>
                          </w:divBdr>
                          <w:divsChild>
                            <w:div w:id="1922982939">
                              <w:marLeft w:val="0"/>
                              <w:marRight w:val="0"/>
                              <w:marTop w:val="0"/>
                              <w:marBottom w:val="0"/>
                              <w:divBdr>
                                <w:top w:val="none" w:sz="0" w:space="0" w:color="auto"/>
                                <w:left w:val="none" w:sz="0" w:space="0" w:color="auto"/>
                                <w:bottom w:val="none" w:sz="0" w:space="0" w:color="auto"/>
                                <w:right w:val="none" w:sz="0" w:space="0" w:color="auto"/>
                              </w:divBdr>
                              <w:divsChild>
                                <w:div w:id="13074207">
                                  <w:marLeft w:val="0"/>
                                  <w:marRight w:val="0"/>
                                  <w:marTop w:val="0"/>
                                  <w:marBottom w:val="0"/>
                                  <w:divBdr>
                                    <w:top w:val="none" w:sz="0" w:space="0" w:color="auto"/>
                                    <w:left w:val="none" w:sz="0" w:space="0" w:color="auto"/>
                                    <w:bottom w:val="none" w:sz="0" w:space="0" w:color="auto"/>
                                    <w:right w:val="none" w:sz="0" w:space="0" w:color="auto"/>
                                  </w:divBdr>
                                  <w:divsChild>
                                    <w:div w:id="2049523323">
                                      <w:marLeft w:val="0"/>
                                      <w:marRight w:val="0"/>
                                      <w:marTop w:val="0"/>
                                      <w:marBottom w:val="0"/>
                                      <w:divBdr>
                                        <w:top w:val="none" w:sz="0" w:space="0" w:color="auto"/>
                                        <w:left w:val="none" w:sz="0" w:space="0" w:color="auto"/>
                                        <w:bottom w:val="none" w:sz="0" w:space="0" w:color="auto"/>
                                        <w:right w:val="none" w:sz="0" w:space="0" w:color="auto"/>
                                      </w:divBdr>
                                      <w:divsChild>
                                        <w:div w:id="145049551">
                                          <w:marLeft w:val="0"/>
                                          <w:marRight w:val="0"/>
                                          <w:marTop w:val="0"/>
                                          <w:marBottom w:val="0"/>
                                          <w:divBdr>
                                            <w:top w:val="single" w:sz="6" w:space="12" w:color="CCCCCC"/>
                                            <w:left w:val="single" w:sz="6" w:space="0" w:color="CCCCCC"/>
                                            <w:bottom w:val="single" w:sz="6" w:space="12" w:color="CCCCCC"/>
                                            <w:right w:val="single" w:sz="2" w:space="14" w:color="CCCCCC"/>
                                          </w:divBdr>
                                          <w:divsChild>
                                            <w:div w:id="358971751">
                                              <w:marLeft w:val="0"/>
                                              <w:marRight w:val="0"/>
                                              <w:marTop w:val="0"/>
                                              <w:marBottom w:val="0"/>
                                              <w:divBdr>
                                                <w:top w:val="none" w:sz="0" w:space="0" w:color="auto"/>
                                                <w:left w:val="none" w:sz="0" w:space="0" w:color="auto"/>
                                                <w:bottom w:val="none" w:sz="0" w:space="0" w:color="auto"/>
                                                <w:right w:val="none" w:sz="0" w:space="0" w:color="auto"/>
                                              </w:divBdr>
                                              <w:divsChild>
                                                <w:div w:id="1380086165">
                                                  <w:marLeft w:val="555"/>
                                                  <w:marRight w:val="0"/>
                                                  <w:marTop w:val="0"/>
                                                  <w:marBottom w:val="0"/>
                                                  <w:divBdr>
                                                    <w:top w:val="none" w:sz="0" w:space="0" w:color="auto"/>
                                                    <w:left w:val="none" w:sz="0" w:space="0" w:color="auto"/>
                                                    <w:bottom w:val="none" w:sz="0" w:space="0" w:color="auto"/>
                                                    <w:right w:val="none" w:sz="0" w:space="0" w:color="auto"/>
                                                  </w:divBdr>
                                                  <w:divsChild>
                                                    <w:div w:id="1566379802">
                                                      <w:marLeft w:val="0"/>
                                                      <w:marRight w:val="0"/>
                                                      <w:marTop w:val="0"/>
                                                      <w:marBottom w:val="0"/>
                                                      <w:divBdr>
                                                        <w:top w:val="none" w:sz="0" w:space="0" w:color="auto"/>
                                                        <w:left w:val="none" w:sz="0" w:space="0" w:color="auto"/>
                                                        <w:bottom w:val="none" w:sz="0" w:space="0" w:color="auto"/>
                                                        <w:right w:val="none" w:sz="0" w:space="0" w:color="auto"/>
                                                      </w:divBdr>
                                                      <w:divsChild>
                                                        <w:div w:id="97460252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476950183">
                                                              <w:marLeft w:val="0"/>
                                                              <w:marRight w:val="0"/>
                                                              <w:marTop w:val="0"/>
                                                              <w:marBottom w:val="0"/>
                                                              <w:divBdr>
                                                                <w:top w:val="none" w:sz="0" w:space="0" w:color="auto"/>
                                                                <w:left w:val="none" w:sz="0" w:space="0" w:color="auto"/>
                                                                <w:bottom w:val="none" w:sz="0" w:space="0" w:color="auto"/>
                                                                <w:right w:val="none" w:sz="0" w:space="0" w:color="auto"/>
                                                              </w:divBdr>
                                                              <w:divsChild>
                                                                <w:div w:id="7468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countingcoach.com/blog/what-is-a-journal" TargetMode="External"/><Relationship Id="rId5" Type="http://schemas.openxmlformats.org/officeDocument/2006/relationships/hyperlink" Target="http://www.accountingcoach.com/blog/what-is-accou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Brian S CPO USN CSG-8</dc:creator>
  <cp:lastModifiedBy>Curran, Brian S CPO USN CSG-8</cp:lastModifiedBy>
  <cp:revision>1</cp:revision>
  <dcterms:created xsi:type="dcterms:W3CDTF">2014-06-19T11:16:00Z</dcterms:created>
  <dcterms:modified xsi:type="dcterms:W3CDTF">2014-06-19T11:17:00Z</dcterms:modified>
</cp:coreProperties>
</file>